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37096E3" w14:textId="77777777" w:rsidR="009C610E" w:rsidRPr="00321F4D" w:rsidRDefault="009C610E" w:rsidP="00321F4D">
      <w:pPr>
        <w:rPr>
          <w:rFonts w:ascii="Verdana" w:hAnsi="Verdana"/>
          <w:b/>
          <w:bCs/>
          <w:sz w:val="32"/>
          <w:szCs w:val="32"/>
        </w:rPr>
      </w:pPr>
      <w:bookmarkStart w:id="0" w:name="_Toc86670880"/>
      <w:r w:rsidRPr="00321F4D">
        <w:rPr>
          <w:rFonts w:ascii="Verdana" w:hAnsi="Verdana"/>
          <w:b/>
          <w:bCs/>
          <w:sz w:val="32"/>
          <w:szCs w:val="32"/>
        </w:rPr>
        <w:t>Functies van het pastoraat</w:t>
      </w:r>
      <w:bookmarkEnd w:id="0"/>
    </w:p>
    <w:p w14:paraId="737096E4" w14:textId="77777777" w:rsidR="009C610E" w:rsidRPr="00321F4D" w:rsidRDefault="009C610E" w:rsidP="009C610E">
      <w:pPr>
        <w:rPr>
          <w:rFonts w:ascii="Verdana" w:hAnsi="Verdana"/>
          <w:sz w:val="24"/>
        </w:rPr>
      </w:pPr>
    </w:p>
    <w:p w14:paraId="737096E5" w14:textId="6850D07B" w:rsidR="00321F4D" w:rsidRDefault="00321F4D" w:rsidP="009C610E">
      <w:pPr>
        <w:rPr>
          <w:rFonts w:ascii="Verdana" w:hAnsi="Verdana"/>
          <w:bCs/>
          <w:sz w:val="24"/>
        </w:rPr>
      </w:pPr>
    </w:p>
    <w:p w14:paraId="37DE82A1" w14:textId="1510BEE4" w:rsidR="006607CD" w:rsidRPr="00C04A80" w:rsidRDefault="00C04A80" w:rsidP="009C610E">
      <w:pPr>
        <w:rPr>
          <w:rFonts w:ascii="Verdana" w:hAnsi="Verdana"/>
          <w:b/>
          <w:bCs/>
          <w:sz w:val="24"/>
        </w:rPr>
      </w:pPr>
      <w:r w:rsidRPr="00C04A80">
        <w:rPr>
          <w:rFonts w:ascii="Verdana" w:hAnsi="Verdana"/>
          <w:b/>
          <w:bCs/>
          <w:sz w:val="24"/>
        </w:rPr>
        <w:t>Wat doen we eigenlijk als we pastorale gesprekken voeren?</w:t>
      </w:r>
      <w:r>
        <w:rPr>
          <w:rFonts w:ascii="Verdana" w:hAnsi="Verdana"/>
          <w:b/>
          <w:bCs/>
          <w:sz w:val="24"/>
        </w:rPr>
        <w:t xml:space="preserve"> Oftewel: wat is de functie van onze gesprekken?</w:t>
      </w:r>
    </w:p>
    <w:p w14:paraId="574F2E5D" w14:textId="77777777" w:rsidR="006607CD" w:rsidRDefault="006607CD" w:rsidP="009C610E">
      <w:pPr>
        <w:rPr>
          <w:rFonts w:ascii="Verdana" w:hAnsi="Verdana"/>
          <w:bCs/>
          <w:sz w:val="24"/>
        </w:rPr>
      </w:pPr>
    </w:p>
    <w:p w14:paraId="737096E6" w14:textId="067B8940" w:rsidR="009C610E" w:rsidRPr="00321F4D" w:rsidRDefault="00C04A80" w:rsidP="009C610E">
      <w:pPr>
        <w:rPr>
          <w:rFonts w:ascii="Verdana" w:hAnsi="Verdana"/>
          <w:bCs/>
          <w:sz w:val="24"/>
        </w:rPr>
      </w:pPr>
      <w:r>
        <w:rPr>
          <w:rFonts w:ascii="Verdana" w:hAnsi="Verdana"/>
          <w:bCs/>
          <w:sz w:val="24"/>
        </w:rPr>
        <w:t xml:space="preserve">Als we dit aan de bijbel vragen, kom ik in het Nieuwe Testament uit bij het woord: ‘parakaleo’. Dát is wat we doen in pastorale gesprekken. </w:t>
      </w:r>
      <w:r w:rsidR="00321F4D">
        <w:rPr>
          <w:rFonts w:ascii="Verdana" w:hAnsi="Verdana"/>
          <w:bCs/>
          <w:sz w:val="24"/>
        </w:rPr>
        <w:t>Paulus zegt in zijn brieven regelmatig ‘ik verma</w:t>
      </w:r>
      <w:r>
        <w:rPr>
          <w:rFonts w:ascii="Verdana" w:hAnsi="Verdana"/>
          <w:bCs/>
          <w:sz w:val="24"/>
        </w:rPr>
        <w:t>an u’ ‘Ik bid u’ ‘Ik roep u op’. Dat is allemaal ‘</w:t>
      </w:r>
      <w:r w:rsidR="00321F4D">
        <w:rPr>
          <w:rFonts w:ascii="Verdana" w:hAnsi="Verdana"/>
          <w:bCs/>
          <w:sz w:val="24"/>
        </w:rPr>
        <w:t>parakaleo</w:t>
      </w:r>
      <w:r>
        <w:rPr>
          <w:rFonts w:ascii="Verdana" w:hAnsi="Verdana"/>
          <w:bCs/>
          <w:sz w:val="24"/>
        </w:rPr>
        <w:t>’</w:t>
      </w:r>
      <w:r w:rsidR="004E6D58">
        <w:rPr>
          <w:rFonts w:ascii="Verdana" w:hAnsi="Verdana"/>
          <w:bCs/>
          <w:sz w:val="24"/>
        </w:rPr>
        <w:t>. Bijvoorbeeld in Ef. 4:1. Het</w:t>
      </w:r>
      <w:r w:rsidR="00321F4D">
        <w:rPr>
          <w:rFonts w:ascii="Verdana" w:hAnsi="Verdana"/>
          <w:bCs/>
          <w:sz w:val="24"/>
        </w:rPr>
        <w:t xml:space="preserve">t is een interessante uitdrukking. </w:t>
      </w:r>
      <w:r w:rsidR="009C610E" w:rsidRPr="00321F4D">
        <w:rPr>
          <w:rFonts w:ascii="Verdana" w:hAnsi="Verdana"/>
          <w:bCs/>
          <w:sz w:val="24"/>
        </w:rPr>
        <w:t xml:space="preserve">Het </w:t>
      </w:r>
      <w:r w:rsidR="00321F4D">
        <w:rPr>
          <w:rFonts w:ascii="Verdana" w:hAnsi="Verdana"/>
          <w:bCs/>
          <w:sz w:val="24"/>
        </w:rPr>
        <w:t>zelfstandig naam</w:t>
      </w:r>
      <w:r w:rsidR="009C610E" w:rsidRPr="00321F4D">
        <w:rPr>
          <w:rFonts w:ascii="Verdana" w:hAnsi="Verdana"/>
          <w:bCs/>
          <w:sz w:val="24"/>
        </w:rPr>
        <w:t xml:space="preserve">woord </w:t>
      </w:r>
      <w:r w:rsidR="009C610E" w:rsidRPr="00321F4D">
        <w:rPr>
          <w:rFonts w:ascii="Verdana" w:hAnsi="Verdana"/>
          <w:bCs/>
          <w:i/>
          <w:sz w:val="24"/>
        </w:rPr>
        <w:t xml:space="preserve">paraklèsis </w:t>
      </w:r>
      <w:r w:rsidR="009C610E" w:rsidRPr="00321F4D">
        <w:rPr>
          <w:rFonts w:ascii="Verdana" w:hAnsi="Verdana"/>
          <w:bCs/>
          <w:sz w:val="24"/>
        </w:rPr>
        <w:t>in het Nieuwe Testament kan vertaald worden met vertroosting, bemoediging, versterking, toerusting, terechtwijzing, correctie, weerlegging, bestraffing en dergelijke.</w:t>
      </w:r>
      <w:r w:rsidR="009C610E" w:rsidRPr="00321F4D">
        <w:rPr>
          <w:rStyle w:val="Voetnootmarkering"/>
          <w:rFonts w:ascii="Verdana" w:hAnsi="Verdana"/>
          <w:bCs/>
          <w:sz w:val="24"/>
        </w:rPr>
        <w:footnoteReference w:id="1"/>
      </w:r>
      <w:r w:rsidR="009C610E" w:rsidRPr="00321F4D">
        <w:rPr>
          <w:rFonts w:ascii="Verdana" w:hAnsi="Verdana"/>
          <w:bCs/>
          <w:sz w:val="24"/>
        </w:rPr>
        <w:t xml:space="preserve"> De veelheid aan  betekenissen van dit woord laat het brede terrein zien waarop de zielzorg bezig kan zijn. Al deze zaken  kunnen in een pastoraal gesprek aan de orde komen.</w:t>
      </w:r>
      <w:r w:rsidR="009C610E" w:rsidRPr="00321F4D">
        <w:rPr>
          <w:rStyle w:val="Voetnootmarkering"/>
          <w:rFonts w:ascii="Verdana" w:hAnsi="Verdana"/>
          <w:bCs/>
          <w:sz w:val="24"/>
        </w:rPr>
        <w:footnoteReference w:id="2"/>
      </w:r>
      <w:r w:rsidR="009C610E" w:rsidRPr="00321F4D">
        <w:rPr>
          <w:rFonts w:ascii="Verdana" w:hAnsi="Verdana"/>
          <w:bCs/>
          <w:sz w:val="24"/>
        </w:rPr>
        <w:t xml:space="preserve"> </w:t>
      </w:r>
      <w:r w:rsidR="00321F4D">
        <w:rPr>
          <w:rFonts w:ascii="Verdana" w:hAnsi="Verdana"/>
          <w:bCs/>
          <w:sz w:val="24"/>
        </w:rPr>
        <w:t xml:space="preserve">Het woord paraklèsis geeft </w:t>
      </w:r>
      <w:r>
        <w:rPr>
          <w:rFonts w:ascii="Verdana" w:hAnsi="Verdana"/>
          <w:bCs/>
          <w:sz w:val="24"/>
        </w:rPr>
        <w:t xml:space="preserve">zo </w:t>
      </w:r>
      <w:r w:rsidR="00321F4D">
        <w:rPr>
          <w:rFonts w:ascii="Verdana" w:hAnsi="Verdana"/>
          <w:bCs/>
          <w:sz w:val="24"/>
        </w:rPr>
        <w:t>nieuwtestamentisch weer wat de functies van pastoraat zijn.</w:t>
      </w:r>
      <w:r>
        <w:rPr>
          <w:rFonts w:ascii="Verdana" w:hAnsi="Verdana"/>
          <w:bCs/>
          <w:sz w:val="24"/>
        </w:rPr>
        <w:t xml:space="preserve"> In eigen woorden </w:t>
      </w:r>
      <w:r w:rsidR="004E6D58">
        <w:rPr>
          <w:rFonts w:ascii="Verdana" w:hAnsi="Verdana"/>
          <w:bCs/>
          <w:sz w:val="24"/>
        </w:rPr>
        <w:t>vat</w:t>
      </w:r>
      <w:r>
        <w:rPr>
          <w:rFonts w:ascii="Verdana" w:hAnsi="Verdana"/>
          <w:bCs/>
          <w:sz w:val="24"/>
        </w:rPr>
        <w:t xml:space="preserve"> ik dat als volgt samen: </w:t>
      </w:r>
      <w:r w:rsidRPr="00C04A80">
        <w:rPr>
          <w:rFonts w:ascii="Verdana" w:hAnsi="Verdana"/>
          <w:bCs/>
          <w:i/>
          <w:sz w:val="24"/>
        </w:rPr>
        <w:t>een pastor troost, een pastor stoort</w:t>
      </w:r>
      <w:r>
        <w:rPr>
          <w:rFonts w:ascii="Verdana" w:hAnsi="Verdana"/>
          <w:bCs/>
          <w:sz w:val="24"/>
        </w:rPr>
        <w:t>. Dat zijn twee woorden met dezelfde letters die volgens mij aardig weergeven wat ‘parakaleo’ bedoelt. Een pastor ondersteunt en brengt in beweging, desnoods kritisch.</w:t>
      </w:r>
    </w:p>
    <w:p w14:paraId="737096E7" w14:textId="77777777" w:rsidR="009C610E" w:rsidRPr="00321F4D" w:rsidRDefault="009C610E" w:rsidP="009C610E">
      <w:pPr>
        <w:rPr>
          <w:rFonts w:ascii="Verdana" w:hAnsi="Verdana"/>
          <w:bCs/>
          <w:sz w:val="24"/>
        </w:rPr>
      </w:pPr>
    </w:p>
    <w:p w14:paraId="737096E9" w14:textId="7ABE5C16" w:rsidR="009C610E" w:rsidRDefault="009C610E" w:rsidP="009C610E">
      <w:pPr>
        <w:rPr>
          <w:rFonts w:ascii="Verdana" w:hAnsi="Verdana"/>
          <w:bCs/>
          <w:sz w:val="24"/>
        </w:rPr>
      </w:pPr>
      <w:r w:rsidRPr="00321F4D">
        <w:rPr>
          <w:rFonts w:ascii="Verdana" w:hAnsi="Verdana"/>
          <w:bCs/>
          <w:sz w:val="24"/>
        </w:rPr>
        <w:t xml:space="preserve">G. Heitink onderscheidt vier functies van pastoraat. Hieronder verstaat hij wat het pastoraat in werkelijkheid doet en uitwerkt. </w:t>
      </w:r>
      <w:r w:rsidRPr="00321F4D">
        <w:rPr>
          <w:rStyle w:val="Voetnootmarkering"/>
          <w:rFonts w:ascii="Verdana" w:hAnsi="Verdana"/>
          <w:bCs/>
          <w:sz w:val="24"/>
        </w:rPr>
        <w:footnoteReference w:id="3"/>
      </w:r>
      <w:r w:rsidRPr="00321F4D">
        <w:rPr>
          <w:rFonts w:ascii="Verdana" w:hAnsi="Verdana"/>
          <w:bCs/>
          <w:sz w:val="24"/>
        </w:rPr>
        <w:t xml:space="preserve"> Hij wil niet spreken van doelstellingen omdat deze een pastorale relatie kunnen blokkeren. Doelstellingen zouden kunnen gaan heersen over de werkelijke behoefte van de pastorant. Pastoraat zet in bij de vragen en situatie van de ander. In de loop van de relatie wordt eerst duidelijk wat de ander nodig heeft om zijn of haar levensweg verder te gaan. </w:t>
      </w:r>
      <w:r w:rsidR="00C04A80">
        <w:rPr>
          <w:rFonts w:ascii="Verdana" w:hAnsi="Verdana"/>
          <w:bCs/>
          <w:sz w:val="24"/>
        </w:rPr>
        <w:t>Heitink spreekt overigens de Amerikanen W. Clebsch en Ch.R. Jaeckle: ‘Pastoral Care in historical perspective’ na (Englewood Cliffs NJ 1964)</w:t>
      </w:r>
      <w:r w:rsidR="008225CA">
        <w:rPr>
          <w:rFonts w:ascii="Verdana" w:hAnsi="Verdana"/>
          <w:bCs/>
          <w:sz w:val="24"/>
        </w:rPr>
        <w:t>.</w:t>
      </w:r>
    </w:p>
    <w:p w14:paraId="720F5D27" w14:textId="77777777" w:rsidR="00C04A80" w:rsidRPr="00321F4D" w:rsidRDefault="00C04A80" w:rsidP="009C610E">
      <w:pPr>
        <w:rPr>
          <w:rFonts w:ascii="Verdana" w:hAnsi="Verdana"/>
          <w:bCs/>
          <w:sz w:val="24"/>
        </w:rPr>
      </w:pPr>
    </w:p>
    <w:p w14:paraId="737096EA" w14:textId="399C91F4" w:rsidR="009C610E" w:rsidRPr="00321F4D" w:rsidRDefault="009C610E" w:rsidP="009C610E">
      <w:pPr>
        <w:rPr>
          <w:rFonts w:ascii="Verdana" w:hAnsi="Verdana"/>
          <w:bCs/>
          <w:sz w:val="24"/>
        </w:rPr>
      </w:pPr>
      <w:r w:rsidRPr="00321F4D">
        <w:rPr>
          <w:rFonts w:ascii="Verdana" w:hAnsi="Verdana"/>
          <w:bCs/>
          <w:sz w:val="24"/>
        </w:rPr>
        <w:t xml:space="preserve">De vier functies volgens </w:t>
      </w:r>
      <w:r w:rsidR="008225CA">
        <w:rPr>
          <w:rFonts w:ascii="Verdana" w:hAnsi="Verdana"/>
          <w:bCs/>
          <w:sz w:val="24"/>
        </w:rPr>
        <w:t xml:space="preserve">hen </w:t>
      </w:r>
      <w:r w:rsidRPr="00321F4D">
        <w:rPr>
          <w:rFonts w:ascii="Verdana" w:hAnsi="Verdana"/>
          <w:bCs/>
          <w:sz w:val="24"/>
        </w:rPr>
        <w:t>zijn:</w:t>
      </w:r>
    </w:p>
    <w:p w14:paraId="737096EB" w14:textId="77777777" w:rsidR="009C610E" w:rsidRPr="00321F4D" w:rsidRDefault="009C610E" w:rsidP="009C610E">
      <w:pPr>
        <w:rPr>
          <w:rFonts w:ascii="Verdana" w:hAnsi="Verdana"/>
          <w:bCs/>
          <w:sz w:val="24"/>
        </w:rPr>
      </w:pPr>
      <w:r w:rsidRPr="00321F4D">
        <w:rPr>
          <w:rFonts w:ascii="Verdana" w:hAnsi="Verdana"/>
          <w:bCs/>
          <w:sz w:val="24"/>
        </w:rPr>
        <w:t xml:space="preserve"> </w:t>
      </w:r>
    </w:p>
    <w:p w14:paraId="737096EC" w14:textId="0CC85837" w:rsidR="009C610E" w:rsidRPr="00321F4D" w:rsidRDefault="009C610E" w:rsidP="009C610E">
      <w:pPr>
        <w:numPr>
          <w:ilvl w:val="0"/>
          <w:numId w:val="1"/>
        </w:numPr>
        <w:rPr>
          <w:rFonts w:ascii="Verdana" w:hAnsi="Verdana"/>
          <w:bCs/>
          <w:sz w:val="24"/>
        </w:rPr>
      </w:pPr>
      <w:r w:rsidRPr="00321F4D">
        <w:rPr>
          <w:rFonts w:ascii="Verdana" w:hAnsi="Verdana"/>
          <w:bCs/>
          <w:sz w:val="24"/>
        </w:rPr>
        <w:t>Helen</w:t>
      </w:r>
      <w:r w:rsidR="008225CA">
        <w:rPr>
          <w:rFonts w:ascii="Verdana" w:hAnsi="Verdana"/>
          <w:bCs/>
          <w:sz w:val="24"/>
        </w:rPr>
        <w:t xml:space="preserve"> (</w:t>
      </w:r>
      <w:r w:rsidR="008225CA" w:rsidRPr="008225CA">
        <w:rPr>
          <w:rFonts w:ascii="Verdana" w:hAnsi="Verdana"/>
          <w:bCs/>
          <w:i/>
          <w:sz w:val="24"/>
        </w:rPr>
        <w:t>heelwording van mensen met het oog op hu</w:t>
      </w:r>
      <w:r w:rsidR="008225CA">
        <w:rPr>
          <w:rFonts w:ascii="Verdana" w:hAnsi="Verdana"/>
          <w:bCs/>
          <w:i/>
          <w:sz w:val="24"/>
        </w:rPr>
        <w:t xml:space="preserve">n geestelijke </w:t>
      </w:r>
      <w:r w:rsidR="008225CA" w:rsidRPr="008225CA">
        <w:rPr>
          <w:rFonts w:ascii="Verdana" w:hAnsi="Verdana"/>
          <w:bCs/>
          <w:i/>
          <w:sz w:val="24"/>
        </w:rPr>
        <w:t>gezondheid en welbevinden</w:t>
      </w:r>
      <w:r w:rsidR="008225CA">
        <w:rPr>
          <w:rFonts w:ascii="Verdana" w:hAnsi="Verdana"/>
          <w:bCs/>
          <w:sz w:val="24"/>
        </w:rPr>
        <w:t>)</w:t>
      </w:r>
    </w:p>
    <w:p w14:paraId="737096ED" w14:textId="77777777" w:rsidR="009C610E" w:rsidRPr="00321F4D" w:rsidRDefault="009C610E" w:rsidP="009C610E">
      <w:pPr>
        <w:rPr>
          <w:rFonts w:ascii="Verdana" w:hAnsi="Verdana"/>
          <w:bCs/>
          <w:sz w:val="24"/>
        </w:rPr>
      </w:pPr>
      <w:r w:rsidRPr="00321F4D">
        <w:rPr>
          <w:rFonts w:ascii="Verdana" w:hAnsi="Verdana"/>
          <w:bCs/>
          <w:sz w:val="24"/>
        </w:rPr>
        <w:t xml:space="preserve">Hieronder verstaan we de mogelijk positieve gevolgen die pastoraat kan hebben met betrekking tot de gezondheid en het welzijn van mensen in de ruimste zin van het woord. Deze functie van het pastoraat is nodig bij mensen die in situaties terechtkomen  waarin men door welke reden dan ook uit balans is geraakt.  Dit kan door  bijvoorbeeld ziekte, zorgen, verdriet, psychische spanningen enz. Ik denk dat bij dit aspect ook de vraag naar rechtvaardiging betrokken kan worden. Het helende aspect </w:t>
      </w:r>
      <w:r w:rsidRPr="00321F4D">
        <w:rPr>
          <w:rFonts w:ascii="Verdana" w:hAnsi="Verdana"/>
          <w:bCs/>
          <w:sz w:val="24"/>
        </w:rPr>
        <w:lastRenderedPageBreak/>
        <w:t>kan ook hierin liggen dat iemand geholpen wordt om te komen tot aanvaarding en overgave, zodat er innerlijke vrede komt om te  dragen wat gedragen moet worden.</w:t>
      </w:r>
    </w:p>
    <w:p w14:paraId="737096EE" w14:textId="77777777" w:rsidR="009C610E" w:rsidRPr="00321F4D" w:rsidRDefault="009C610E" w:rsidP="009C610E">
      <w:pPr>
        <w:rPr>
          <w:rFonts w:ascii="Verdana" w:hAnsi="Verdana"/>
          <w:bCs/>
          <w:sz w:val="24"/>
        </w:rPr>
      </w:pPr>
    </w:p>
    <w:p w14:paraId="737096EF" w14:textId="70753EA1" w:rsidR="009C610E" w:rsidRPr="00321F4D" w:rsidRDefault="009C610E" w:rsidP="009C610E">
      <w:pPr>
        <w:numPr>
          <w:ilvl w:val="0"/>
          <w:numId w:val="1"/>
        </w:numPr>
        <w:rPr>
          <w:rFonts w:ascii="Verdana" w:hAnsi="Verdana"/>
          <w:bCs/>
          <w:sz w:val="24"/>
        </w:rPr>
      </w:pPr>
      <w:r w:rsidRPr="00321F4D">
        <w:rPr>
          <w:rFonts w:ascii="Verdana" w:hAnsi="Verdana"/>
          <w:bCs/>
          <w:sz w:val="24"/>
        </w:rPr>
        <w:t>Bijstaan</w:t>
      </w:r>
      <w:r w:rsidR="008225CA">
        <w:rPr>
          <w:rFonts w:ascii="Verdana" w:hAnsi="Verdana"/>
          <w:bCs/>
          <w:sz w:val="24"/>
        </w:rPr>
        <w:t xml:space="preserve"> (</w:t>
      </w:r>
      <w:r w:rsidR="008225CA" w:rsidRPr="008225CA">
        <w:rPr>
          <w:rFonts w:ascii="Verdana" w:hAnsi="Verdana"/>
          <w:bCs/>
          <w:i/>
          <w:sz w:val="24"/>
        </w:rPr>
        <w:t>troosten en bemoedigen in moeitevolle omstandigheden</w:t>
      </w:r>
      <w:r w:rsidR="008225CA">
        <w:rPr>
          <w:rFonts w:ascii="Verdana" w:hAnsi="Verdana"/>
          <w:bCs/>
          <w:sz w:val="24"/>
        </w:rPr>
        <w:t>)</w:t>
      </w:r>
    </w:p>
    <w:p w14:paraId="737096F0" w14:textId="7C3A77D0" w:rsidR="009C610E" w:rsidRPr="00321F4D" w:rsidRDefault="009C610E" w:rsidP="009C610E">
      <w:pPr>
        <w:rPr>
          <w:rFonts w:ascii="Verdana" w:hAnsi="Verdana"/>
          <w:bCs/>
          <w:sz w:val="24"/>
        </w:rPr>
      </w:pPr>
      <w:r w:rsidRPr="00321F4D">
        <w:rPr>
          <w:rFonts w:ascii="Verdana" w:hAnsi="Verdana"/>
          <w:bCs/>
          <w:sz w:val="24"/>
        </w:rPr>
        <w:t xml:space="preserve">Hieronder verstaan we het aangaan en onderhouden van een relatie met mensen, veelal in situaties van lijden, met als mogelijk gevolg dat de ander zich gesteund en getroost weet op de weg die hij of zij heeft te gaan. Dit aspect heeft raakvlakken met de helende functie.  Bijstaan is echter vooral gericht op situaties waarin geen verandering meer te verwachten is. Het gaat dan vooral om het 'er zijn voor de ander'. Te denken valt aan situaties van rouw, verdriet, lijden en pijn. </w:t>
      </w:r>
    </w:p>
    <w:p w14:paraId="737096F1" w14:textId="77777777" w:rsidR="009C610E" w:rsidRPr="00321F4D" w:rsidRDefault="009C610E" w:rsidP="009C610E">
      <w:pPr>
        <w:rPr>
          <w:rFonts w:ascii="Verdana" w:hAnsi="Verdana"/>
          <w:bCs/>
          <w:sz w:val="24"/>
        </w:rPr>
      </w:pPr>
    </w:p>
    <w:p w14:paraId="737096F2" w14:textId="7CF661EF" w:rsidR="009C610E" w:rsidRPr="00321F4D" w:rsidRDefault="009C610E" w:rsidP="009C610E">
      <w:pPr>
        <w:rPr>
          <w:rFonts w:ascii="Verdana" w:hAnsi="Verdana"/>
          <w:bCs/>
          <w:sz w:val="24"/>
        </w:rPr>
      </w:pPr>
      <w:r w:rsidRPr="00321F4D">
        <w:rPr>
          <w:rFonts w:ascii="Verdana" w:hAnsi="Verdana"/>
          <w:bCs/>
          <w:sz w:val="24"/>
        </w:rPr>
        <w:t>3. Begeleiden</w:t>
      </w:r>
      <w:r w:rsidR="008225CA">
        <w:rPr>
          <w:rFonts w:ascii="Verdana" w:hAnsi="Verdana"/>
          <w:bCs/>
          <w:sz w:val="24"/>
        </w:rPr>
        <w:t xml:space="preserve"> (</w:t>
      </w:r>
      <w:r w:rsidR="008225CA" w:rsidRPr="008225CA">
        <w:rPr>
          <w:rFonts w:ascii="Verdana" w:hAnsi="Verdana"/>
          <w:bCs/>
          <w:i/>
          <w:sz w:val="24"/>
        </w:rPr>
        <w:t>me</w:t>
      </w:r>
      <w:r w:rsidR="008225CA">
        <w:rPr>
          <w:rFonts w:ascii="Verdana" w:hAnsi="Verdana"/>
          <w:bCs/>
          <w:i/>
          <w:sz w:val="24"/>
        </w:rPr>
        <w:t>nsen coachen in het maken van ke</w:t>
      </w:r>
      <w:r w:rsidR="008225CA" w:rsidRPr="008225CA">
        <w:rPr>
          <w:rFonts w:ascii="Verdana" w:hAnsi="Verdana"/>
          <w:bCs/>
          <w:i/>
          <w:sz w:val="24"/>
        </w:rPr>
        <w:t>u</w:t>
      </w:r>
      <w:r w:rsidR="008225CA">
        <w:rPr>
          <w:rFonts w:ascii="Verdana" w:hAnsi="Verdana"/>
          <w:bCs/>
          <w:i/>
          <w:sz w:val="24"/>
        </w:rPr>
        <w:t>z</w:t>
      </w:r>
      <w:r w:rsidR="008225CA" w:rsidRPr="008225CA">
        <w:rPr>
          <w:rFonts w:ascii="Verdana" w:hAnsi="Verdana"/>
          <w:bCs/>
          <w:i/>
          <w:sz w:val="24"/>
        </w:rPr>
        <w:t xml:space="preserve">es en het nemen </w:t>
      </w:r>
      <w:r w:rsidR="008225CA">
        <w:rPr>
          <w:rFonts w:ascii="Verdana" w:hAnsi="Verdana"/>
          <w:bCs/>
          <w:i/>
          <w:sz w:val="24"/>
        </w:rPr>
        <w:t xml:space="preserve">   </w:t>
      </w:r>
      <w:r w:rsidR="008225CA" w:rsidRPr="008225CA">
        <w:rPr>
          <w:rFonts w:ascii="Verdana" w:hAnsi="Verdana"/>
          <w:bCs/>
          <w:i/>
          <w:sz w:val="24"/>
        </w:rPr>
        <w:t>van beslissingen</w:t>
      </w:r>
      <w:r w:rsidR="008225CA">
        <w:rPr>
          <w:rFonts w:ascii="Verdana" w:hAnsi="Verdana"/>
          <w:bCs/>
          <w:sz w:val="24"/>
        </w:rPr>
        <w:t>)</w:t>
      </w:r>
    </w:p>
    <w:p w14:paraId="737096F3" w14:textId="73CA96F8" w:rsidR="00321F4D" w:rsidRDefault="009C610E" w:rsidP="00321F4D">
      <w:pPr>
        <w:rPr>
          <w:rFonts w:ascii="Verdana" w:hAnsi="Verdana"/>
          <w:bCs/>
          <w:sz w:val="24"/>
        </w:rPr>
      </w:pPr>
      <w:r w:rsidRPr="00321F4D">
        <w:rPr>
          <w:rFonts w:ascii="Verdana" w:hAnsi="Verdana"/>
          <w:bCs/>
          <w:sz w:val="24"/>
        </w:rPr>
        <w:t>Hieronder verstaan we de geestelijke leiding die mensen ontvangen, waardoor zij geholpen kunnen worden op grond van hun levensovertuiging hun eigen keuzen te bepalen en beslissingen te nemen en zo te groeien in een zelfstandig geestelijk functioneren. Dit staat haaks op het (post) moderne levensgevoel dat iedereen voor zichzelf maar moet uitmaken wat goed is en dat je elkaar vrij moet laten. Raad geven is  in de Bijbel verbonden met wijsheid die wortelt in de vreze des Heren (Spr. 1: 7). Het Nieuwe Testament wijst ons de weg van gebed en het toetsen van de wil van God.  Bij het begeleiden zijn verbindingslijnen te trekken  naar het leren in de gemeente. Geestelijk begeleiden is meer dan counselen. Dat is gericht op het oplossen van problemen. Geestelijk begeleiden heeft als focus: de omgang met God</w:t>
      </w:r>
      <w:r w:rsidRPr="00321F4D">
        <w:rPr>
          <w:rStyle w:val="Voetnootmarkering"/>
          <w:rFonts w:ascii="Verdana" w:hAnsi="Verdana"/>
          <w:bCs/>
          <w:sz w:val="24"/>
        </w:rPr>
        <w:footnoteReference w:id="4"/>
      </w:r>
    </w:p>
    <w:p w14:paraId="737096F4" w14:textId="77777777" w:rsidR="00321F4D" w:rsidRDefault="00321F4D" w:rsidP="00321F4D">
      <w:pPr>
        <w:rPr>
          <w:rFonts w:ascii="Verdana" w:hAnsi="Verdana"/>
          <w:bCs/>
          <w:sz w:val="24"/>
        </w:rPr>
      </w:pPr>
    </w:p>
    <w:p w14:paraId="737096F5" w14:textId="7D7797F8" w:rsidR="009C610E" w:rsidRPr="00321F4D" w:rsidRDefault="009C610E" w:rsidP="00321F4D">
      <w:pPr>
        <w:rPr>
          <w:rFonts w:ascii="Verdana" w:hAnsi="Verdana"/>
          <w:bCs/>
          <w:sz w:val="24"/>
        </w:rPr>
      </w:pPr>
      <w:r w:rsidRPr="00321F4D">
        <w:rPr>
          <w:rFonts w:ascii="Verdana" w:hAnsi="Verdana"/>
          <w:bCs/>
          <w:sz w:val="24"/>
        </w:rPr>
        <w:t>4. Verzoenen</w:t>
      </w:r>
      <w:r w:rsidR="008225CA">
        <w:rPr>
          <w:rFonts w:ascii="Verdana" w:hAnsi="Verdana"/>
          <w:bCs/>
          <w:sz w:val="24"/>
        </w:rPr>
        <w:t xml:space="preserve"> (</w:t>
      </w:r>
      <w:r w:rsidR="008225CA" w:rsidRPr="008225CA">
        <w:rPr>
          <w:rFonts w:ascii="Verdana" w:hAnsi="Verdana"/>
          <w:bCs/>
          <w:i/>
          <w:sz w:val="24"/>
        </w:rPr>
        <w:t>mensen verzoenen met God, met anderen, met zichzelf</w:t>
      </w:r>
      <w:r w:rsidR="008225CA">
        <w:rPr>
          <w:rFonts w:ascii="Verdana" w:hAnsi="Verdana"/>
          <w:bCs/>
          <w:sz w:val="24"/>
        </w:rPr>
        <w:t>)</w:t>
      </w:r>
    </w:p>
    <w:p w14:paraId="737096F6" w14:textId="64D262C0" w:rsidR="009C610E" w:rsidRPr="00321F4D" w:rsidRDefault="009C610E" w:rsidP="009C610E">
      <w:pPr>
        <w:rPr>
          <w:rFonts w:ascii="Verdana" w:hAnsi="Verdana"/>
          <w:bCs/>
          <w:sz w:val="24"/>
        </w:rPr>
      </w:pPr>
      <w:r w:rsidRPr="00321F4D">
        <w:rPr>
          <w:rFonts w:ascii="Verdana" w:hAnsi="Verdana"/>
          <w:bCs/>
          <w:sz w:val="24"/>
        </w:rPr>
        <w:t>Hieronder verstaan we dat mensen die vervreemd zijn van elkaar, van zichzelf of van God tot zichzelf komen, aanvaarding en vergeving ervaren en zo in nieuwe relatie leren leven. Hierbij speelt de prediking ee</w:t>
      </w:r>
      <w:r w:rsidR="008225CA">
        <w:rPr>
          <w:rFonts w:ascii="Verdana" w:hAnsi="Verdana"/>
          <w:bCs/>
          <w:sz w:val="24"/>
        </w:rPr>
        <w:t xml:space="preserve">n belangrijke rol. </w:t>
      </w:r>
      <w:r w:rsidRPr="00321F4D">
        <w:rPr>
          <w:rFonts w:ascii="Verdana" w:hAnsi="Verdana"/>
          <w:bCs/>
          <w:sz w:val="24"/>
        </w:rPr>
        <w:t xml:space="preserve">Verzoening met God vraagt ook om een nadere uitwerking in verzoende relaties op deze aarde. Het pastoraat wil mensen ertoe brengen tot aanvaarding en vergeving van elkaar. </w:t>
      </w:r>
    </w:p>
    <w:p w14:paraId="737096F7" w14:textId="77777777" w:rsidR="009C610E" w:rsidRPr="00321F4D" w:rsidRDefault="009C610E" w:rsidP="009C610E">
      <w:pPr>
        <w:rPr>
          <w:rFonts w:ascii="Verdana" w:hAnsi="Verdana"/>
          <w:bCs/>
          <w:sz w:val="24"/>
        </w:rPr>
      </w:pPr>
    </w:p>
    <w:p w14:paraId="737096F8" w14:textId="77777777" w:rsidR="009C610E" w:rsidRPr="00321F4D" w:rsidRDefault="009C610E" w:rsidP="009C610E">
      <w:pPr>
        <w:rPr>
          <w:rFonts w:ascii="Verdana" w:hAnsi="Verdana"/>
          <w:bCs/>
          <w:sz w:val="24"/>
        </w:rPr>
      </w:pPr>
      <w:r w:rsidRPr="00321F4D">
        <w:rPr>
          <w:rFonts w:ascii="Verdana" w:hAnsi="Verdana"/>
          <w:bCs/>
          <w:sz w:val="24"/>
        </w:rPr>
        <w:t xml:space="preserve">Dr. J. W. van Pelt stelt dat Heitink geen rekening houdt met de nauwe samenhang tussen pastoraat en gemeenteopbouw. Ook mist hij de functie van heilzame correctie die in de christelijke gemeenten toch een eigen plaats heeft ingenomen. </w:t>
      </w:r>
      <w:r w:rsidRPr="00321F4D">
        <w:rPr>
          <w:rStyle w:val="Voetnootmarkering"/>
          <w:rFonts w:ascii="Verdana" w:hAnsi="Verdana"/>
          <w:bCs/>
          <w:sz w:val="24"/>
        </w:rPr>
        <w:footnoteReference w:id="5"/>
      </w:r>
      <w:r w:rsidRPr="00321F4D">
        <w:rPr>
          <w:rFonts w:ascii="Verdana" w:hAnsi="Verdana"/>
          <w:bCs/>
          <w:sz w:val="24"/>
        </w:rPr>
        <w:t xml:space="preserve"> Hij voegt aan de vier functies van Heitink onderstaande drie functies toe. </w:t>
      </w:r>
    </w:p>
    <w:p w14:paraId="737096F9" w14:textId="77777777" w:rsidR="009C610E" w:rsidRPr="00321F4D" w:rsidRDefault="009C610E" w:rsidP="009C610E">
      <w:pPr>
        <w:rPr>
          <w:rFonts w:ascii="Verdana" w:hAnsi="Verdana"/>
          <w:bCs/>
          <w:sz w:val="24"/>
        </w:rPr>
      </w:pPr>
    </w:p>
    <w:p w14:paraId="737096FA" w14:textId="77777777" w:rsidR="009C610E" w:rsidRPr="00321F4D" w:rsidRDefault="009C610E" w:rsidP="009C610E">
      <w:pPr>
        <w:rPr>
          <w:rFonts w:ascii="Verdana" w:hAnsi="Verdana"/>
          <w:bCs/>
          <w:sz w:val="24"/>
        </w:rPr>
      </w:pPr>
      <w:r w:rsidRPr="00321F4D">
        <w:rPr>
          <w:rFonts w:ascii="Verdana" w:hAnsi="Verdana"/>
          <w:bCs/>
          <w:sz w:val="24"/>
        </w:rPr>
        <w:t>5. Vermanen</w:t>
      </w:r>
    </w:p>
    <w:p w14:paraId="737096FB" w14:textId="77777777" w:rsidR="009C610E" w:rsidRPr="00321F4D" w:rsidRDefault="009C610E" w:rsidP="009C610E">
      <w:pPr>
        <w:rPr>
          <w:rFonts w:ascii="Verdana" w:hAnsi="Verdana"/>
          <w:bCs/>
          <w:sz w:val="24"/>
        </w:rPr>
      </w:pPr>
      <w:r w:rsidRPr="00321F4D">
        <w:rPr>
          <w:rFonts w:ascii="Verdana" w:hAnsi="Verdana"/>
          <w:bCs/>
          <w:sz w:val="24"/>
        </w:rPr>
        <w:t xml:space="preserve">Het gaat in vermaning en tucht om de doorwerking van het Evangelie in het leven van de gemeente (Hebr. 13:22). In verbondenheid aan Christus </w:t>
      </w:r>
      <w:r w:rsidRPr="00321F4D">
        <w:rPr>
          <w:rFonts w:ascii="Verdana" w:hAnsi="Verdana"/>
          <w:bCs/>
          <w:sz w:val="24"/>
        </w:rPr>
        <w:lastRenderedPageBreak/>
        <w:t>en aan elkaar hebben we acht te slaan op de ander, zodat niemand achterop raakt in de genade (Hebr. 12: 14-15). Het is oproepen om voor het eerst of opnieuw naar de geboden van God te leven in doen en denken (Rom. 12:1, 2 Kor. 10:1 en 1 Thess. 4: 1).</w:t>
      </w:r>
      <w:r w:rsidRPr="00321F4D">
        <w:rPr>
          <w:rStyle w:val="Voetnootmarkering"/>
          <w:rFonts w:ascii="Verdana" w:hAnsi="Verdana"/>
          <w:bCs/>
          <w:sz w:val="24"/>
        </w:rPr>
        <w:footnoteReference w:id="6"/>
      </w:r>
      <w:r w:rsidRPr="00321F4D">
        <w:rPr>
          <w:rFonts w:ascii="Verdana" w:hAnsi="Verdana"/>
          <w:bCs/>
          <w:sz w:val="24"/>
        </w:rPr>
        <w:t xml:space="preserve"> Niet helemaal onterecht is de associatie dat ‘vermanen’ te maken heeft met ‘orthodoxie’. In de tijd van Calvijn, Zwingli en Bucer kwam het pastorale gesprek te staan in het licht van de leer en van de tucht. (Zie ook zondag 31 van de Heidelbergse Catechismus.) Er loopt in de reformatorische traditie ook altijd een lijn tussen de viering van het Heilig Avondmaal en het vermanende aspect van het pastoraat.</w:t>
      </w:r>
      <w:r w:rsidRPr="00321F4D">
        <w:rPr>
          <w:rStyle w:val="Voetnootmarkering"/>
          <w:rFonts w:ascii="Verdana" w:hAnsi="Verdana"/>
          <w:bCs/>
          <w:sz w:val="24"/>
        </w:rPr>
        <w:footnoteReference w:id="7"/>
      </w:r>
      <w:r w:rsidRPr="00321F4D">
        <w:rPr>
          <w:rFonts w:ascii="Verdana" w:hAnsi="Verdana"/>
          <w:bCs/>
          <w:sz w:val="24"/>
        </w:rPr>
        <w:t xml:space="preserve"> Ook in orthodox evangelische kring hoort  vermanen bij de functies van het pastoraat (al zal men daar gedeeltelijk andere aandachtspunten benoemen dan in reformatorische kring – dat is een onderzoek waard!)</w:t>
      </w:r>
    </w:p>
    <w:p w14:paraId="737096FC" w14:textId="77777777" w:rsidR="009C610E" w:rsidRPr="00321F4D" w:rsidRDefault="009C610E" w:rsidP="009C610E">
      <w:pPr>
        <w:rPr>
          <w:rFonts w:ascii="Verdana" w:hAnsi="Verdana"/>
          <w:bCs/>
          <w:sz w:val="24"/>
        </w:rPr>
      </w:pPr>
    </w:p>
    <w:p w14:paraId="737096FD" w14:textId="017CB929" w:rsidR="009C610E" w:rsidRPr="00321F4D" w:rsidRDefault="009C610E" w:rsidP="009C610E">
      <w:pPr>
        <w:rPr>
          <w:rFonts w:ascii="Verdana" w:hAnsi="Verdana"/>
          <w:bCs/>
          <w:sz w:val="24"/>
        </w:rPr>
      </w:pPr>
      <w:r w:rsidRPr="00321F4D">
        <w:rPr>
          <w:rFonts w:ascii="Verdana" w:hAnsi="Verdana"/>
          <w:bCs/>
          <w:sz w:val="24"/>
        </w:rPr>
        <w:t>6. Versterken</w:t>
      </w:r>
    </w:p>
    <w:p w14:paraId="737096FE" w14:textId="3A32DA4C" w:rsidR="009C610E" w:rsidRDefault="009C610E" w:rsidP="009C610E">
      <w:pPr>
        <w:rPr>
          <w:rFonts w:ascii="Verdana" w:hAnsi="Verdana"/>
          <w:bCs/>
          <w:sz w:val="24"/>
        </w:rPr>
      </w:pPr>
      <w:r w:rsidRPr="00321F4D">
        <w:rPr>
          <w:rFonts w:ascii="Verdana" w:hAnsi="Verdana"/>
          <w:bCs/>
          <w:sz w:val="24"/>
        </w:rPr>
        <w:t xml:space="preserve">Het versterkende aspect van pastoraat richt zich op het persoonlijke geloofsleven en op de opbouw van het gemeentelijke leven. De betekenis ligt in het 'sterk maken, weerstand geven zodat de ander stevig kan staan en kan standhouden.'  Versterking is nodig omdat de gemeente leeft in wereld die in opstand is tegen God en waar de satan zijn aanvallen uitvoert. Ook bedreigt het gevaar van dwalingen voortdurend de christelijke gemeente. </w:t>
      </w:r>
    </w:p>
    <w:p w14:paraId="4BED790A" w14:textId="41A4DB9A" w:rsidR="006956E9" w:rsidRPr="00321F4D" w:rsidRDefault="006956E9" w:rsidP="009C610E">
      <w:pPr>
        <w:rPr>
          <w:rFonts w:ascii="Verdana" w:hAnsi="Verdana"/>
          <w:bCs/>
          <w:sz w:val="24"/>
        </w:rPr>
      </w:pPr>
      <w:r>
        <w:rPr>
          <w:rFonts w:ascii="Verdana" w:hAnsi="Verdana"/>
          <w:bCs/>
          <w:sz w:val="24"/>
        </w:rPr>
        <w:tab/>
        <w:t>Anderen noemen deze functie ‘bekrachtigen’ en geven daar dan een minder geestelijke en een meer psychologische invulling aan. Mensen sterk maken in het leven bij de taken en relaties die ze hebben. Het zelfbeeld en zelfvertrouwen van mensen versterken. (Daarin speelt het geloof natuurlijk ook een rol!)</w:t>
      </w:r>
    </w:p>
    <w:p w14:paraId="737096FF" w14:textId="77777777" w:rsidR="009C610E" w:rsidRPr="00321F4D" w:rsidRDefault="009C610E" w:rsidP="009C610E">
      <w:pPr>
        <w:rPr>
          <w:rFonts w:ascii="Verdana" w:hAnsi="Verdana"/>
          <w:bCs/>
          <w:sz w:val="24"/>
        </w:rPr>
      </w:pPr>
    </w:p>
    <w:p w14:paraId="73709700" w14:textId="77777777" w:rsidR="009C610E" w:rsidRPr="00321F4D" w:rsidRDefault="009C610E" w:rsidP="009C610E">
      <w:pPr>
        <w:rPr>
          <w:rFonts w:ascii="Verdana" w:hAnsi="Verdana"/>
          <w:bCs/>
          <w:sz w:val="24"/>
        </w:rPr>
      </w:pPr>
      <w:r w:rsidRPr="00321F4D">
        <w:rPr>
          <w:rFonts w:ascii="Verdana" w:hAnsi="Verdana"/>
          <w:bCs/>
          <w:sz w:val="24"/>
        </w:rPr>
        <w:t>7. Toerusten</w:t>
      </w:r>
    </w:p>
    <w:p w14:paraId="73709701" w14:textId="6202F242" w:rsidR="009C610E" w:rsidRDefault="009C610E" w:rsidP="009C610E">
      <w:pPr>
        <w:rPr>
          <w:rFonts w:ascii="Verdana" w:hAnsi="Verdana"/>
          <w:bCs/>
          <w:sz w:val="24"/>
        </w:rPr>
      </w:pPr>
      <w:r w:rsidRPr="00321F4D">
        <w:rPr>
          <w:rFonts w:ascii="Verdana" w:hAnsi="Verdana"/>
          <w:bCs/>
          <w:sz w:val="24"/>
        </w:rPr>
        <w:t xml:space="preserve">Dit aspect is nauw verbonden met gemeenteopbouw en catechese. In de brieven van Paulus komen we regelmatig toerustende gedeelten tegen (2 Tim. 3: 17, 1 Thess. 3: 10, Ef. 4: 12). Toerusting zorgt ervoor dat de gemeente aan haar doel zal beantwoorden. De toerusting is er allereerst van God Zelf. Door Woord en Geest stelt Hij mensen in staat om te staan in kerk en wereld. Daarnaast geldt het toerustende aspect met name de ambtsdragers/ oudsten en andere leidinggevenden zodat de gelovigen zullen functioneren </w:t>
      </w:r>
      <w:r w:rsidR="008855F3">
        <w:rPr>
          <w:rFonts w:ascii="Verdana" w:hAnsi="Verdana"/>
          <w:bCs/>
          <w:sz w:val="24"/>
        </w:rPr>
        <w:t>op een plaats die bij hen past.</w:t>
      </w:r>
    </w:p>
    <w:p w14:paraId="73709702" w14:textId="6D5E78B7" w:rsidR="00A00678" w:rsidRPr="00321F4D" w:rsidRDefault="008855F3" w:rsidP="009C610E">
      <w:pPr>
        <w:rPr>
          <w:rFonts w:ascii="Verdana" w:hAnsi="Verdana"/>
          <w:bCs/>
          <w:sz w:val="24"/>
        </w:rPr>
      </w:pPr>
      <w:r>
        <w:rPr>
          <w:rFonts w:ascii="Verdana" w:hAnsi="Verdana"/>
          <w:bCs/>
          <w:sz w:val="24"/>
        </w:rPr>
        <w:tab/>
      </w:r>
    </w:p>
    <w:p w14:paraId="73709703" w14:textId="77777777" w:rsidR="00A00678" w:rsidRPr="00321F4D" w:rsidRDefault="00A00678" w:rsidP="009C610E">
      <w:pPr>
        <w:rPr>
          <w:rFonts w:ascii="Verdana" w:hAnsi="Verdana"/>
          <w:bCs/>
          <w:sz w:val="24"/>
        </w:rPr>
      </w:pPr>
      <w:r w:rsidRPr="00321F4D">
        <w:rPr>
          <w:rFonts w:ascii="Verdana" w:hAnsi="Verdana"/>
          <w:bCs/>
          <w:sz w:val="24"/>
        </w:rPr>
        <w:t>Dr. Daniël J.Louw wil er nog een functie aan toevoegen</w:t>
      </w:r>
      <w:r w:rsidRPr="00321F4D">
        <w:rPr>
          <w:rStyle w:val="Voetnootmarkering"/>
          <w:rFonts w:ascii="Verdana" w:hAnsi="Verdana"/>
          <w:bCs/>
          <w:sz w:val="24"/>
        </w:rPr>
        <w:footnoteReference w:id="8"/>
      </w:r>
      <w:r w:rsidRPr="00321F4D">
        <w:rPr>
          <w:rFonts w:ascii="Verdana" w:hAnsi="Verdana"/>
          <w:bCs/>
          <w:sz w:val="24"/>
        </w:rPr>
        <w:t>, die wij dan maar de achtste noemen. Eigenlijk ligt dit voor de hand als je het hermeneutisch pastoraat voorstaat.</w:t>
      </w:r>
    </w:p>
    <w:p w14:paraId="73709704" w14:textId="77777777" w:rsidR="00A00678" w:rsidRPr="00321F4D" w:rsidRDefault="00A00678" w:rsidP="009C610E">
      <w:pPr>
        <w:rPr>
          <w:rFonts w:ascii="Verdana" w:hAnsi="Verdana"/>
          <w:bCs/>
          <w:sz w:val="24"/>
        </w:rPr>
      </w:pPr>
    </w:p>
    <w:p w14:paraId="73709705" w14:textId="77777777" w:rsidR="00A00678" w:rsidRPr="00321F4D" w:rsidRDefault="00A00678" w:rsidP="009C610E">
      <w:pPr>
        <w:rPr>
          <w:rFonts w:ascii="Verdana" w:hAnsi="Verdana"/>
          <w:bCs/>
          <w:sz w:val="24"/>
        </w:rPr>
      </w:pPr>
      <w:r w:rsidRPr="00321F4D">
        <w:rPr>
          <w:rFonts w:ascii="Verdana" w:hAnsi="Verdana"/>
          <w:bCs/>
          <w:sz w:val="24"/>
        </w:rPr>
        <w:t>8. Vertolken</w:t>
      </w:r>
    </w:p>
    <w:p w14:paraId="73709706" w14:textId="77777777" w:rsidR="00A00678" w:rsidRPr="00321F4D" w:rsidRDefault="00A00678" w:rsidP="009C610E">
      <w:pPr>
        <w:rPr>
          <w:rFonts w:ascii="Verdana" w:hAnsi="Verdana"/>
          <w:bCs/>
          <w:sz w:val="24"/>
        </w:rPr>
      </w:pPr>
    </w:p>
    <w:p w14:paraId="73709707" w14:textId="53D44711" w:rsidR="00A00678" w:rsidRPr="00321F4D" w:rsidRDefault="00A00678" w:rsidP="009C610E">
      <w:pPr>
        <w:rPr>
          <w:rFonts w:ascii="Verdana" w:hAnsi="Verdana"/>
          <w:bCs/>
          <w:sz w:val="24"/>
        </w:rPr>
      </w:pPr>
      <w:r w:rsidRPr="00321F4D">
        <w:rPr>
          <w:rFonts w:ascii="Verdana" w:hAnsi="Verdana"/>
          <w:bCs/>
          <w:sz w:val="24"/>
        </w:rPr>
        <w:t>In een hermeneutische benadering is de pastor de vertolker van de Schrift en de christelijke traditie. Hij legt uit, verheldert, communiceert een boodschap. Hij doet dat in de taal van de pastorant, binnen zijn existentiële ervaringswereld en culturele conte</w:t>
      </w:r>
      <w:r w:rsidR="004E6D58">
        <w:rPr>
          <w:rFonts w:ascii="Verdana" w:hAnsi="Verdana"/>
          <w:bCs/>
          <w:sz w:val="24"/>
        </w:rPr>
        <w:t>x</w:t>
      </w:r>
      <w:r w:rsidRPr="00321F4D">
        <w:rPr>
          <w:rFonts w:ascii="Verdana" w:hAnsi="Verdana"/>
          <w:bCs/>
          <w:sz w:val="24"/>
        </w:rPr>
        <w:t>t. Omdat de pastor de taal van de Schrift en van de pastorant spreekt, biedt hij geloofshulp als levenshulp.</w:t>
      </w:r>
    </w:p>
    <w:p w14:paraId="73709708" w14:textId="77777777" w:rsidR="009C610E" w:rsidRPr="00321F4D" w:rsidRDefault="009C610E" w:rsidP="009C610E">
      <w:pPr>
        <w:rPr>
          <w:rFonts w:ascii="Verdana" w:hAnsi="Verdana"/>
          <w:bCs/>
          <w:sz w:val="24"/>
        </w:rPr>
      </w:pPr>
    </w:p>
    <w:p w14:paraId="73709709" w14:textId="77777777" w:rsidR="009C610E" w:rsidRPr="00321F4D" w:rsidRDefault="009C610E" w:rsidP="009C610E">
      <w:pPr>
        <w:rPr>
          <w:rFonts w:ascii="Verdana" w:hAnsi="Verdana"/>
          <w:bCs/>
          <w:i/>
          <w:sz w:val="18"/>
          <w:szCs w:val="18"/>
        </w:rPr>
      </w:pPr>
      <w:r w:rsidRPr="00321F4D">
        <w:rPr>
          <w:rFonts w:ascii="Verdana" w:hAnsi="Verdana"/>
          <w:bCs/>
          <w:i/>
          <w:sz w:val="18"/>
          <w:szCs w:val="18"/>
        </w:rPr>
        <w:t xml:space="preserve">Vraag </w:t>
      </w:r>
      <w:r w:rsidR="00CB21BD" w:rsidRPr="00321F4D">
        <w:rPr>
          <w:rFonts w:ascii="Verdana" w:hAnsi="Verdana"/>
          <w:bCs/>
          <w:i/>
          <w:sz w:val="18"/>
          <w:szCs w:val="18"/>
        </w:rPr>
        <w:t>1</w:t>
      </w:r>
      <w:r w:rsidRPr="00321F4D">
        <w:rPr>
          <w:rFonts w:ascii="Verdana" w:hAnsi="Verdana"/>
          <w:bCs/>
          <w:i/>
          <w:sz w:val="18"/>
          <w:szCs w:val="18"/>
        </w:rPr>
        <w:t>. Kijk rond in je eigen gemeente. Welke functies heeft het pastoraat daar en welke ontbreken?</w:t>
      </w:r>
    </w:p>
    <w:p w14:paraId="7370970A" w14:textId="77777777" w:rsidR="009C610E" w:rsidRPr="00321F4D" w:rsidRDefault="009C610E" w:rsidP="009C610E">
      <w:pPr>
        <w:rPr>
          <w:rFonts w:ascii="Verdana" w:hAnsi="Verdana"/>
          <w:bCs/>
          <w:i/>
          <w:sz w:val="18"/>
          <w:szCs w:val="18"/>
        </w:rPr>
      </w:pPr>
      <w:r w:rsidRPr="00321F4D">
        <w:rPr>
          <w:rFonts w:ascii="Verdana" w:hAnsi="Verdana"/>
          <w:bCs/>
          <w:i/>
          <w:sz w:val="18"/>
          <w:szCs w:val="18"/>
        </w:rPr>
        <w:t xml:space="preserve">Vraag </w:t>
      </w:r>
      <w:r w:rsidR="00CB21BD" w:rsidRPr="00321F4D">
        <w:rPr>
          <w:rFonts w:ascii="Verdana" w:hAnsi="Verdana"/>
          <w:bCs/>
          <w:i/>
          <w:sz w:val="18"/>
          <w:szCs w:val="18"/>
        </w:rPr>
        <w:t>2</w:t>
      </w:r>
      <w:r w:rsidRPr="00321F4D">
        <w:rPr>
          <w:rFonts w:ascii="Verdana" w:hAnsi="Verdana"/>
          <w:bCs/>
          <w:i/>
          <w:sz w:val="18"/>
          <w:szCs w:val="18"/>
        </w:rPr>
        <w:t>. Welke functie(s) zou je zelf willen toevoegen aan het pastoraat?</w:t>
      </w:r>
      <w:r w:rsidR="00234CC1" w:rsidRPr="00321F4D">
        <w:rPr>
          <w:rFonts w:ascii="Verdana" w:hAnsi="Verdana"/>
          <w:bCs/>
          <w:i/>
          <w:sz w:val="18"/>
          <w:szCs w:val="18"/>
        </w:rPr>
        <w:t xml:space="preserve"> </w:t>
      </w:r>
      <w:r w:rsidRPr="00321F4D">
        <w:rPr>
          <w:rFonts w:ascii="Verdana" w:hAnsi="Verdana"/>
          <w:bCs/>
          <w:i/>
          <w:sz w:val="18"/>
          <w:szCs w:val="18"/>
        </w:rPr>
        <w:t>(</w:t>
      </w:r>
      <w:r w:rsidR="00CB21BD" w:rsidRPr="00321F4D">
        <w:rPr>
          <w:rFonts w:ascii="Verdana" w:hAnsi="Verdana"/>
          <w:bCs/>
          <w:i/>
          <w:sz w:val="18"/>
          <w:szCs w:val="18"/>
        </w:rPr>
        <w:t xml:space="preserve">Denk </w:t>
      </w:r>
      <w:r w:rsidRPr="00321F4D">
        <w:rPr>
          <w:rFonts w:ascii="Verdana" w:hAnsi="Verdana"/>
          <w:bCs/>
          <w:i/>
          <w:sz w:val="18"/>
          <w:szCs w:val="18"/>
        </w:rPr>
        <w:t>bijvoorbeeld</w:t>
      </w:r>
      <w:r w:rsidR="00CB21BD" w:rsidRPr="00321F4D">
        <w:rPr>
          <w:rFonts w:ascii="Verdana" w:hAnsi="Verdana"/>
          <w:bCs/>
          <w:i/>
          <w:sz w:val="18"/>
          <w:szCs w:val="18"/>
        </w:rPr>
        <w:t xml:space="preserve"> aan deze kernwoorden</w:t>
      </w:r>
      <w:r w:rsidRPr="00321F4D">
        <w:rPr>
          <w:rFonts w:ascii="Verdana" w:hAnsi="Verdana"/>
          <w:bCs/>
          <w:i/>
          <w:sz w:val="18"/>
          <w:szCs w:val="18"/>
        </w:rPr>
        <w:t>: verbinden, vieren, activeren</w:t>
      </w:r>
      <w:r w:rsidR="00A00678" w:rsidRPr="00321F4D">
        <w:rPr>
          <w:rFonts w:ascii="Verdana" w:hAnsi="Verdana"/>
          <w:bCs/>
          <w:i/>
          <w:sz w:val="18"/>
          <w:szCs w:val="18"/>
        </w:rPr>
        <w:t xml:space="preserve"> (van gaven!)</w:t>
      </w:r>
      <w:r w:rsidRPr="00321F4D">
        <w:rPr>
          <w:rFonts w:ascii="Verdana" w:hAnsi="Verdana"/>
          <w:bCs/>
          <w:i/>
          <w:sz w:val="18"/>
          <w:szCs w:val="18"/>
        </w:rPr>
        <w:t xml:space="preserve">, getuigen, voeden, </w:t>
      </w:r>
      <w:r w:rsidR="00CB21BD" w:rsidRPr="00321F4D">
        <w:rPr>
          <w:rFonts w:ascii="Verdana" w:hAnsi="Verdana"/>
          <w:bCs/>
          <w:i/>
          <w:sz w:val="18"/>
          <w:szCs w:val="18"/>
        </w:rPr>
        <w:t xml:space="preserve">betrekken bij, </w:t>
      </w:r>
      <w:r w:rsidRPr="00321F4D">
        <w:rPr>
          <w:rFonts w:ascii="Verdana" w:hAnsi="Verdana"/>
          <w:bCs/>
          <w:i/>
          <w:sz w:val="18"/>
          <w:szCs w:val="18"/>
        </w:rPr>
        <w:t>bekrachtigen, bevrijden</w:t>
      </w:r>
      <w:r w:rsidR="00CB21BD" w:rsidRPr="00321F4D">
        <w:rPr>
          <w:rFonts w:ascii="Verdana" w:hAnsi="Verdana"/>
          <w:bCs/>
          <w:i/>
          <w:sz w:val="18"/>
          <w:szCs w:val="18"/>
        </w:rPr>
        <w:t>, proclameren</w:t>
      </w:r>
      <w:r w:rsidRPr="00321F4D">
        <w:rPr>
          <w:rFonts w:ascii="Verdana" w:hAnsi="Verdana"/>
          <w:bCs/>
          <w:i/>
          <w:sz w:val="18"/>
          <w:szCs w:val="18"/>
        </w:rPr>
        <w:t>) of is alles met de bovenstaande functies al gezegd?</w:t>
      </w:r>
    </w:p>
    <w:p w14:paraId="7370970B" w14:textId="77777777" w:rsidR="00234CC1" w:rsidRPr="00321F4D" w:rsidRDefault="00234CC1" w:rsidP="009C610E">
      <w:pPr>
        <w:rPr>
          <w:rFonts w:ascii="Verdana" w:hAnsi="Verdana"/>
          <w:bCs/>
          <w:i/>
          <w:sz w:val="24"/>
        </w:rPr>
      </w:pPr>
    </w:p>
    <w:p w14:paraId="7370970C" w14:textId="653DB062" w:rsidR="00234CC1" w:rsidRPr="00321F4D" w:rsidRDefault="00234CC1" w:rsidP="009C610E">
      <w:pPr>
        <w:rPr>
          <w:rFonts w:ascii="Verdana" w:hAnsi="Verdana"/>
          <w:bCs/>
          <w:i/>
          <w:sz w:val="18"/>
          <w:szCs w:val="18"/>
        </w:rPr>
      </w:pPr>
      <w:r w:rsidRPr="00321F4D">
        <w:rPr>
          <w:rFonts w:ascii="Verdana" w:hAnsi="Verdana"/>
          <w:bCs/>
          <w:i/>
          <w:sz w:val="18"/>
          <w:szCs w:val="18"/>
        </w:rPr>
        <w:t>Lees de ond</w:t>
      </w:r>
      <w:r w:rsidR="00321F4D">
        <w:rPr>
          <w:rFonts w:ascii="Verdana" w:hAnsi="Verdana"/>
          <w:bCs/>
          <w:i/>
          <w:sz w:val="18"/>
          <w:szCs w:val="18"/>
        </w:rPr>
        <w:t>erstaande tekst van Daniel Louw</w:t>
      </w:r>
      <w:r w:rsidRPr="00321F4D">
        <w:rPr>
          <w:rFonts w:ascii="Verdana" w:hAnsi="Verdana"/>
          <w:bCs/>
          <w:i/>
          <w:sz w:val="18"/>
          <w:szCs w:val="18"/>
        </w:rPr>
        <w:t>. Louw voegt</w:t>
      </w:r>
      <w:r w:rsidR="004E6D58">
        <w:rPr>
          <w:rFonts w:ascii="Verdana" w:hAnsi="Verdana"/>
          <w:bCs/>
          <w:i/>
          <w:sz w:val="18"/>
          <w:szCs w:val="18"/>
        </w:rPr>
        <w:t xml:space="preserve"> aan de vier</w:t>
      </w:r>
      <w:r w:rsidRPr="00321F4D">
        <w:rPr>
          <w:rFonts w:ascii="Verdana" w:hAnsi="Verdana"/>
          <w:bCs/>
          <w:i/>
          <w:sz w:val="18"/>
          <w:szCs w:val="18"/>
        </w:rPr>
        <w:t xml:space="preserve"> functies</w:t>
      </w:r>
      <w:r w:rsidR="004E6D58">
        <w:rPr>
          <w:rFonts w:ascii="Verdana" w:hAnsi="Verdana"/>
          <w:bCs/>
          <w:i/>
          <w:sz w:val="18"/>
          <w:szCs w:val="18"/>
        </w:rPr>
        <w:t xml:space="preserve"> van Heitink er ook een paar</w:t>
      </w:r>
      <w:r w:rsidRPr="00321F4D">
        <w:rPr>
          <w:rFonts w:ascii="Verdana" w:hAnsi="Verdana"/>
          <w:bCs/>
          <w:i/>
          <w:sz w:val="18"/>
          <w:szCs w:val="18"/>
        </w:rPr>
        <w:t xml:space="preserve"> toe. Je komt ook het vertolken weer tegen.</w:t>
      </w:r>
    </w:p>
    <w:p w14:paraId="7370970D" w14:textId="77777777" w:rsidR="009C610E" w:rsidRPr="00321F4D" w:rsidRDefault="009C610E" w:rsidP="009C610E">
      <w:pPr>
        <w:rPr>
          <w:rFonts w:ascii="Verdana" w:hAnsi="Verdana"/>
          <w:sz w:val="24"/>
        </w:rPr>
      </w:pPr>
    </w:p>
    <w:p w14:paraId="7370970E" w14:textId="77777777" w:rsidR="009C610E" w:rsidRPr="00321F4D" w:rsidRDefault="009C610E" w:rsidP="009C610E">
      <w:pPr>
        <w:rPr>
          <w:rFonts w:ascii="Verdana" w:hAnsi="Verdana"/>
          <w:sz w:val="24"/>
        </w:rPr>
      </w:pPr>
    </w:p>
    <w:p w14:paraId="7370970F" w14:textId="77777777" w:rsidR="00234CC1" w:rsidRPr="00321F4D" w:rsidRDefault="00234CC1" w:rsidP="00234CC1">
      <w:pPr>
        <w:rPr>
          <w:rFonts w:ascii="Verdana" w:hAnsi="Verdana" w:cs="Arial"/>
          <w:b/>
          <w:sz w:val="24"/>
          <w:lang w:val="en-US"/>
        </w:rPr>
      </w:pPr>
      <w:r w:rsidRPr="00321F4D">
        <w:rPr>
          <w:rFonts w:ascii="Verdana" w:hAnsi="Verdana" w:cs="Arial"/>
          <w:b/>
          <w:sz w:val="24"/>
          <w:lang w:val="en-US"/>
        </w:rPr>
        <w:t>Functions of pastoral care and counseling</w:t>
      </w:r>
    </w:p>
    <w:p w14:paraId="73709710" w14:textId="77777777" w:rsidR="00234CC1" w:rsidRPr="00321F4D" w:rsidRDefault="00234CC1" w:rsidP="00234CC1">
      <w:pPr>
        <w:rPr>
          <w:rFonts w:ascii="Verdana" w:hAnsi="Verdana" w:cs="Arial"/>
          <w:sz w:val="24"/>
          <w:lang w:val="en-US"/>
        </w:rPr>
      </w:pPr>
    </w:p>
    <w:p w14:paraId="73709711" w14:textId="77777777" w:rsidR="00234CC1" w:rsidRPr="00321F4D" w:rsidRDefault="00234CC1" w:rsidP="00234CC1">
      <w:pPr>
        <w:rPr>
          <w:rFonts w:ascii="Verdana" w:hAnsi="Verdana" w:cs="Arial"/>
          <w:sz w:val="24"/>
          <w:lang w:val="en-US"/>
        </w:rPr>
      </w:pPr>
      <w:r w:rsidRPr="00321F4D">
        <w:rPr>
          <w:rFonts w:ascii="Verdana" w:hAnsi="Verdana" w:cs="Arial"/>
          <w:sz w:val="24"/>
          <w:lang w:val="en-US"/>
        </w:rPr>
        <w:t xml:space="preserve">From: Daniël Louw, </w:t>
      </w:r>
      <w:r w:rsidRPr="00321F4D">
        <w:rPr>
          <w:rFonts w:ascii="Verdana" w:hAnsi="Verdana" w:cs="Arial"/>
          <w:i/>
          <w:sz w:val="24"/>
          <w:lang w:val="en-US"/>
        </w:rPr>
        <w:t>Cura vitae, illness and the healing of life</w:t>
      </w:r>
      <w:r w:rsidRPr="00321F4D">
        <w:rPr>
          <w:rFonts w:ascii="Verdana" w:hAnsi="Verdana" w:cs="Arial"/>
          <w:sz w:val="24"/>
          <w:lang w:val="en-US"/>
        </w:rPr>
        <w:t>. Wellington, South Africa 2008, p. 75-77.</w:t>
      </w:r>
    </w:p>
    <w:p w14:paraId="73709712" w14:textId="77777777" w:rsidR="00234CC1" w:rsidRPr="00321F4D" w:rsidRDefault="00234CC1" w:rsidP="00234CC1">
      <w:pPr>
        <w:rPr>
          <w:rFonts w:ascii="Verdana" w:hAnsi="Verdana" w:cs="Arial"/>
          <w:sz w:val="24"/>
          <w:lang w:val="en-US"/>
        </w:rPr>
      </w:pPr>
    </w:p>
    <w:p w14:paraId="73709713" w14:textId="77777777" w:rsidR="00234CC1" w:rsidRPr="00321F4D" w:rsidRDefault="00234CC1" w:rsidP="00234CC1">
      <w:pPr>
        <w:rPr>
          <w:rFonts w:ascii="Verdana" w:hAnsi="Verdana" w:cs="Arial"/>
          <w:sz w:val="24"/>
          <w:lang w:val="en-US"/>
        </w:rPr>
      </w:pPr>
      <w:r w:rsidRPr="00321F4D">
        <w:rPr>
          <w:rFonts w:ascii="Verdana" w:hAnsi="Verdana" w:cs="Arial"/>
          <w:sz w:val="24"/>
          <w:lang w:val="en-US"/>
        </w:rPr>
        <w:t>Through the ages the notion of shepherding has become a classic representation of pastoral care as a theological endeavor (</w:t>
      </w:r>
      <w:r w:rsidRPr="00321F4D">
        <w:rPr>
          <w:rFonts w:ascii="Verdana" w:hAnsi="Verdana" w:cs="Arial"/>
          <w:i/>
          <w:sz w:val="24"/>
          <w:lang w:val="en-US"/>
        </w:rPr>
        <w:t>cura animarum</w:t>
      </w:r>
      <w:r w:rsidRPr="00321F4D">
        <w:rPr>
          <w:rFonts w:ascii="Verdana" w:hAnsi="Verdana" w:cs="Arial"/>
          <w:sz w:val="24"/>
          <w:vertAlign w:val="superscript"/>
          <w:lang w:val="en-US"/>
        </w:rPr>
        <w:footnoteReference w:id="9"/>
      </w:r>
      <w:r w:rsidRPr="00321F4D">
        <w:rPr>
          <w:rFonts w:ascii="Verdana" w:hAnsi="Verdana" w:cs="Arial"/>
          <w:sz w:val="24"/>
          <w:lang w:val="en-US"/>
        </w:rPr>
        <w:t xml:space="preserve">as related to the notion of salvation). Seward Hiltner (in: </w:t>
      </w:r>
      <w:r w:rsidRPr="00321F4D">
        <w:rPr>
          <w:rFonts w:ascii="Verdana" w:hAnsi="Verdana" w:cs="Arial"/>
          <w:i/>
          <w:sz w:val="24"/>
          <w:lang w:val="en-US"/>
        </w:rPr>
        <w:t>Preface to pastoral theology</w:t>
      </w:r>
      <w:r w:rsidRPr="00321F4D">
        <w:rPr>
          <w:rFonts w:ascii="Verdana" w:hAnsi="Verdana" w:cs="Arial"/>
          <w:sz w:val="24"/>
          <w:lang w:val="en-US"/>
        </w:rPr>
        <w:t>, 1958) discusses this idea in his theological theory on pastoral care. Hiltner argues that all the actions of the caregiver should be understood from the shepherding perspective: solicitous care. The unique feature in pastoral care, distinct from all the other disciplines within the field of health and care, is the fact that pastoral care implies more than empathy. It embodies the identification of the suffering Christ with our human predicament. In pastoral care the pastor doesn’t wait for the people to come and make an appointment. Instead, the shepherd seeks out the sheep to care for them. Pastoral care meets people where they are: the space of life is our office, not primarily the counseling room of a clinical profession in an official building. Pastoral care entails being with people where they are and meeting them in their being functions with deep concern and sincere empathy.</w:t>
      </w:r>
    </w:p>
    <w:p w14:paraId="73709714" w14:textId="77777777" w:rsidR="00234CC1" w:rsidRPr="00321F4D" w:rsidRDefault="00234CC1" w:rsidP="00234CC1">
      <w:pPr>
        <w:rPr>
          <w:rFonts w:ascii="Verdana" w:hAnsi="Verdana" w:cs="Arial"/>
          <w:sz w:val="24"/>
          <w:lang w:val="en-US"/>
        </w:rPr>
      </w:pPr>
      <w:r w:rsidRPr="00321F4D">
        <w:rPr>
          <w:rFonts w:ascii="Verdana" w:hAnsi="Verdana" w:cs="Arial"/>
          <w:sz w:val="24"/>
          <w:lang w:val="en-US"/>
        </w:rPr>
        <w:tab/>
        <w:t xml:space="preserve">Within the tradition of </w:t>
      </w:r>
      <w:r w:rsidRPr="00321F4D">
        <w:rPr>
          <w:rFonts w:ascii="Verdana" w:hAnsi="Verdana" w:cs="Arial"/>
          <w:i/>
          <w:sz w:val="24"/>
          <w:lang w:val="en-US"/>
        </w:rPr>
        <w:t>cura animarum</w:t>
      </w:r>
      <w:r w:rsidRPr="00321F4D">
        <w:rPr>
          <w:rFonts w:ascii="Verdana" w:hAnsi="Verdana" w:cs="Arial"/>
          <w:sz w:val="24"/>
          <w:lang w:val="en-US"/>
        </w:rPr>
        <w:t xml:space="preserve"> the following functions have been identified within different models of care and counseling:</w:t>
      </w:r>
    </w:p>
    <w:p w14:paraId="73709715" w14:textId="77777777" w:rsidR="00234CC1" w:rsidRPr="00321F4D" w:rsidRDefault="00234CC1" w:rsidP="00234CC1">
      <w:pPr>
        <w:rPr>
          <w:rFonts w:ascii="Verdana" w:hAnsi="Verdana" w:cs="Arial"/>
          <w:sz w:val="24"/>
          <w:lang w:val="en-US"/>
        </w:rPr>
      </w:pPr>
    </w:p>
    <w:p w14:paraId="73709716" w14:textId="77777777" w:rsidR="00234CC1" w:rsidRPr="00321F4D" w:rsidRDefault="00234CC1" w:rsidP="00234CC1">
      <w:pPr>
        <w:numPr>
          <w:ilvl w:val="0"/>
          <w:numId w:val="2"/>
        </w:numPr>
        <w:contextualSpacing/>
        <w:rPr>
          <w:rFonts w:ascii="Verdana" w:hAnsi="Verdana" w:cs="Arial"/>
          <w:sz w:val="24"/>
          <w:lang w:val="en-US"/>
        </w:rPr>
      </w:pPr>
      <w:r w:rsidRPr="00321F4D">
        <w:rPr>
          <w:rFonts w:ascii="Verdana" w:hAnsi="Verdana" w:cs="Arial"/>
          <w:sz w:val="24"/>
          <w:lang w:val="en-US"/>
        </w:rPr>
        <w:t>Healing</w:t>
      </w:r>
    </w:p>
    <w:p w14:paraId="73709717" w14:textId="77777777" w:rsidR="00234CC1" w:rsidRPr="00321F4D" w:rsidRDefault="00234CC1" w:rsidP="00234CC1">
      <w:pPr>
        <w:ind w:left="360"/>
        <w:rPr>
          <w:rFonts w:ascii="Verdana" w:hAnsi="Verdana" w:cs="Arial"/>
          <w:sz w:val="24"/>
          <w:lang w:val="en-US"/>
        </w:rPr>
      </w:pPr>
      <w:r w:rsidRPr="00321F4D">
        <w:rPr>
          <w:rFonts w:ascii="Verdana" w:hAnsi="Verdana" w:cs="Arial"/>
          <w:sz w:val="24"/>
          <w:lang w:val="en-US"/>
        </w:rPr>
        <w:t xml:space="preserve">The act of healing implies the restoration of a loss and the search for integration and identity; to regain what has been lost or to attain new coping skills, coping mechanisms, or the reframing of existing concepts </w:t>
      </w:r>
      <w:r w:rsidRPr="00321F4D">
        <w:rPr>
          <w:rFonts w:ascii="Verdana" w:hAnsi="Verdana" w:cs="Arial"/>
          <w:sz w:val="24"/>
          <w:lang w:val="en-US"/>
        </w:rPr>
        <w:lastRenderedPageBreak/>
        <w:t>and ideas. A holistic and comprehensive approach to healing includes physical, psychological, relational, contextual and spiritual healing. Spiritual healing within a Christian context is closely related tot the notion of salvation.</w:t>
      </w:r>
    </w:p>
    <w:p w14:paraId="73709718" w14:textId="77777777" w:rsidR="00234CC1" w:rsidRPr="00321F4D" w:rsidRDefault="00234CC1" w:rsidP="00234CC1">
      <w:pPr>
        <w:ind w:left="360"/>
        <w:rPr>
          <w:rFonts w:ascii="Verdana" w:hAnsi="Verdana" w:cs="Arial"/>
          <w:sz w:val="24"/>
          <w:lang w:val="en-US"/>
        </w:rPr>
      </w:pPr>
    </w:p>
    <w:p w14:paraId="73709719" w14:textId="77777777" w:rsidR="00234CC1" w:rsidRPr="00321F4D" w:rsidRDefault="00234CC1" w:rsidP="00234CC1">
      <w:pPr>
        <w:numPr>
          <w:ilvl w:val="0"/>
          <w:numId w:val="2"/>
        </w:numPr>
        <w:contextualSpacing/>
        <w:rPr>
          <w:rFonts w:ascii="Verdana" w:hAnsi="Verdana" w:cs="Arial"/>
          <w:sz w:val="24"/>
          <w:lang w:val="en-US"/>
        </w:rPr>
      </w:pPr>
      <w:r w:rsidRPr="00321F4D">
        <w:rPr>
          <w:rFonts w:ascii="Verdana" w:hAnsi="Verdana" w:cs="Arial"/>
          <w:sz w:val="24"/>
          <w:lang w:val="en-US"/>
        </w:rPr>
        <w:t>Sustaining</w:t>
      </w:r>
    </w:p>
    <w:p w14:paraId="7370971A" w14:textId="77777777" w:rsidR="00234CC1" w:rsidRPr="00321F4D" w:rsidRDefault="00234CC1" w:rsidP="00234CC1">
      <w:pPr>
        <w:ind w:left="360"/>
        <w:rPr>
          <w:rFonts w:ascii="Verdana" w:hAnsi="Verdana" w:cs="Arial"/>
          <w:sz w:val="24"/>
          <w:lang w:val="en-US"/>
        </w:rPr>
      </w:pPr>
      <w:r w:rsidRPr="00321F4D">
        <w:rPr>
          <w:rFonts w:ascii="Verdana" w:hAnsi="Verdana" w:cs="Arial"/>
          <w:sz w:val="24"/>
          <w:lang w:val="en-US"/>
        </w:rPr>
        <w:t>The art of sustaining is linked to the capacity to accept what cannot be changed and to adopt a realistic stance in life. In this regard one needs a support system in order to survive or to take courage to proceed with life. Sustaining is not about negative resignation, but about realistic acceptance and the art of drawing strength and support from existing resources.</w:t>
      </w:r>
    </w:p>
    <w:p w14:paraId="7370971B" w14:textId="77777777" w:rsidR="00234CC1" w:rsidRPr="00321F4D" w:rsidRDefault="00234CC1" w:rsidP="00234CC1">
      <w:pPr>
        <w:ind w:left="360"/>
        <w:rPr>
          <w:rFonts w:ascii="Verdana" w:hAnsi="Verdana" w:cs="Arial"/>
          <w:sz w:val="24"/>
          <w:lang w:val="en-US"/>
        </w:rPr>
      </w:pPr>
    </w:p>
    <w:p w14:paraId="7370971C" w14:textId="77777777" w:rsidR="00234CC1" w:rsidRPr="00321F4D" w:rsidRDefault="00234CC1" w:rsidP="00234CC1">
      <w:pPr>
        <w:numPr>
          <w:ilvl w:val="0"/>
          <w:numId w:val="2"/>
        </w:numPr>
        <w:contextualSpacing/>
        <w:rPr>
          <w:rFonts w:ascii="Verdana" w:hAnsi="Verdana" w:cs="Arial"/>
          <w:sz w:val="24"/>
          <w:lang w:val="en-US"/>
        </w:rPr>
      </w:pPr>
      <w:r w:rsidRPr="00321F4D">
        <w:rPr>
          <w:rFonts w:ascii="Verdana" w:hAnsi="Verdana" w:cs="Arial"/>
          <w:sz w:val="24"/>
          <w:lang w:val="en-US"/>
        </w:rPr>
        <w:t>Guiding</w:t>
      </w:r>
    </w:p>
    <w:p w14:paraId="7370971D" w14:textId="77777777" w:rsidR="00234CC1" w:rsidRPr="00321F4D" w:rsidRDefault="00234CC1" w:rsidP="00234CC1">
      <w:pPr>
        <w:ind w:left="360"/>
        <w:rPr>
          <w:rFonts w:ascii="Verdana" w:hAnsi="Verdana" w:cs="Arial"/>
          <w:sz w:val="24"/>
          <w:lang w:val="en-US"/>
        </w:rPr>
      </w:pPr>
      <w:r w:rsidRPr="00321F4D">
        <w:rPr>
          <w:rFonts w:ascii="Verdana" w:hAnsi="Verdana" w:cs="Arial"/>
          <w:sz w:val="24"/>
          <w:lang w:val="en-US"/>
        </w:rPr>
        <w:t>Healing is linked to direction. Often difficult decisions need to be taken. In order to do this, one needs a moral framework, a philosophy in life or a soul friend who can guide one through the difficult trajectories of life. Guiding is not about prescription, but about the empowerment and enabling of people. The guide acts as a co-interpreter of life.</w:t>
      </w:r>
    </w:p>
    <w:p w14:paraId="7370971E" w14:textId="77777777" w:rsidR="00234CC1" w:rsidRPr="00321F4D" w:rsidRDefault="00234CC1" w:rsidP="00234CC1">
      <w:pPr>
        <w:ind w:left="360"/>
        <w:rPr>
          <w:rFonts w:ascii="Verdana" w:hAnsi="Verdana" w:cs="Arial"/>
          <w:sz w:val="24"/>
          <w:lang w:val="en-US"/>
        </w:rPr>
      </w:pPr>
    </w:p>
    <w:p w14:paraId="7370971F" w14:textId="77777777" w:rsidR="00234CC1" w:rsidRPr="00321F4D" w:rsidRDefault="00234CC1" w:rsidP="00234CC1">
      <w:pPr>
        <w:numPr>
          <w:ilvl w:val="0"/>
          <w:numId w:val="2"/>
        </w:numPr>
        <w:contextualSpacing/>
        <w:rPr>
          <w:rFonts w:ascii="Verdana" w:hAnsi="Verdana" w:cs="Arial"/>
          <w:sz w:val="24"/>
          <w:lang w:val="en-US"/>
        </w:rPr>
      </w:pPr>
      <w:r w:rsidRPr="00321F4D">
        <w:rPr>
          <w:rFonts w:ascii="Verdana" w:hAnsi="Verdana" w:cs="Arial"/>
          <w:sz w:val="24"/>
          <w:lang w:val="en-US"/>
        </w:rPr>
        <w:t>Reconciling</w:t>
      </w:r>
    </w:p>
    <w:p w14:paraId="73709720" w14:textId="77777777" w:rsidR="00234CC1" w:rsidRPr="00321F4D" w:rsidRDefault="00234CC1" w:rsidP="00234CC1">
      <w:pPr>
        <w:ind w:left="360"/>
        <w:rPr>
          <w:rFonts w:ascii="Verdana" w:hAnsi="Verdana" w:cs="Arial"/>
          <w:sz w:val="24"/>
          <w:lang w:val="en-US"/>
        </w:rPr>
      </w:pPr>
      <w:r w:rsidRPr="00321F4D">
        <w:rPr>
          <w:rFonts w:ascii="Verdana" w:hAnsi="Verdana" w:cs="Arial"/>
          <w:sz w:val="24"/>
          <w:lang w:val="en-US"/>
        </w:rPr>
        <w:t>Reconciling is about the overcoming of estrangement, isolation and hatred through forgiveness and unconditional love (grace). It is about bringing people together and overcoming the gap of unforgivenness. Enmity should be exchanged and overcome by the peace of salvation.</w:t>
      </w:r>
    </w:p>
    <w:p w14:paraId="73709721" w14:textId="77777777" w:rsidR="00234CC1" w:rsidRPr="00321F4D" w:rsidRDefault="00234CC1" w:rsidP="00234CC1">
      <w:pPr>
        <w:ind w:left="360"/>
        <w:rPr>
          <w:rFonts w:ascii="Verdana" w:hAnsi="Verdana" w:cs="Arial"/>
          <w:sz w:val="24"/>
          <w:lang w:val="en-US"/>
        </w:rPr>
      </w:pPr>
    </w:p>
    <w:p w14:paraId="73709722" w14:textId="77777777" w:rsidR="00234CC1" w:rsidRPr="00321F4D" w:rsidRDefault="00234CC1" w:rsidP="00234CC1">
      <w:pPr>
        <w:numPr>
          <w:ilvl w:val="0"/>
          <w:numId w:val="2"/>
        </w:numPr>
        <w:contextualSpacing/>
        <w:rPr>
          <w:rFonts w:ascii="Verdana" w:hAnsi="Verdana" w:cs="Arial"/>
          <w:sz w:val="24"/>
          <w:lang w:val="en-US"/>
        </w:rPr>
      </w:pPr>
      <w:r w:rsidRPr="00321F4D">
        <w:rPr>
          <w:rFonts w:ascii="Verdana" w:hAnsi="Verdana" w:cs="Arial"/>
          <w:sz w:val="24"/>
          <w:lang w:val="en-US"/>
        </w:rPr>
        <w:t>Nurturing</w:t>
      </w:r>
    </w:p>
    <w:p w14:paraId="73709723" w14:textId="3AF9F28D" w:rsidR="00234CC1" w:rsidRPr="00321F4D" w:rsidRDefault="00234CC1" w:rsidP="00234CC1">
      <w:pPr>
        <w:ind w:left="360"/>
        <w:rPr>
          <w:rFonts w:ascii="Verdana" w:hAnsi="Verdana" w:cs="Arial"/>
          <w:sz w:val="24"/>
          <w:lang w:val="en-US"/>
        </w:rPr>
      </w:pPr>
      <w:r w:rsidRPr="00321F4D">
        <w:rPr>
          <w:rFonts w:ascii="Verdana" w:hAnsi="Verdana" w:cs="Arial"/>
          <w:sz w:val="24"/>
          <w:lang w:val="en-US"/>
        </w:rPr>
        <w:t>This is the art of how to grow into maturity and how to use human potential and spiritual potential in order to foster and facilitate growth through different stages of life. It can be linked to a developmental model in care. Its aim is maturity and identity.</w:t>
      </w:r>
      <w:r w:rsidR="003A6849">
        <w:rPr>
          <w:rStyle w:val="Voetnootmarkering"/>
          <w:rFonts w:ascii="Verdana" w:hAnsi="Verdana" w:cs="Arial"/>
          <w:sz w:val="24"/>
          <w:lang w:val="en-US"/>
        </w:rPr>
        <w:footnoteReference w:id="10"/>
      </w:r>
    </w:p>
    <w:p w14:paraId="73709724" w14:textId="77777777" w:rsidR="00234CC1" w:rsidRPr="00321F4D" w:rsidRDefault="00234CC1" w:rsidP="00234CC1">
      <w:pPr>
        <w:ind w:left="360"/>
        <w:rPr>
          <w:rFonts w:ascii="Verdana" w:hAnsi="Verdana" w:cs="Arial"/>
          <w:sz w:val="24"/>
          <w:lang w:val="en-US"/>
        </w:rPr>
      </w:pPr>
    </w:p>
    <w:p w14:paraId="73709725" w14:textId="77777777" w:rsidR="00234CC1" w:rsidRPr="00321F4D" w:rsidRDefault="00234CC1" w:rsidP="00234CC1">
      <w:pPr>
        <w:numPr>
          <w:ilvl w:val="0"/>
          <w:numId w:val="2"/>
        </w:numPr>
        <w:contextualSpacing/>
        <w:rPr>
          <w:rFonts w:ascii="Verdana" w:hAnsi="Verdana" w:cs="Arial"/>
          <w:sz w:val="24"/>
          <w:lang w:val="en-US"/>
        </w:rPr>
      </w:pPr>
      <w:r w:rsidRPr="00321F4D">
        <w:rPr>
          <w:rFonts w:ascii="Verdana" w:hAnsi="Verdana" w:cs="Arial"/>
          <w:sz w:val="24"/>
          <w:lang w:val="en-US"/>
        </w:rPr>
        <w:t>Liberating</w:t>
      </w:r>
    </w:p>
    <w:p w14:paraId="73709726" w14:textId="1893D1A4" w:rsidR="00234CC1" w:rsidRPr="00321F4D" w:rsidRDefault="00234CC1" w:rsidP="00234CC1">
      <w:pPr>
        <w:ind w:left="360"/>
        <w:rPr>
          <w:rFonts w:ascii="Verdana" w:hAnsi="Verdana" w:cs="Arial"/>
          <w:sz w:val="24"/>
          <w:lang w:val="en-US"/>
        </w:rPr>
      </w:pPr>
      <w:r w:rsidRPr="00321F4D">
        <w:rPr>
          <w:rFonts w:ascii="Verdana" w:hAnsi="Verdana" w:cs="Arial"/>
          <w:sz w:val="24"/>
          <w:lang w:val="en-US"/>
        </w:rPr>
        <w:t>People need to be helped to be emancipated from ‘slavery’, addiction and situations of victimhood. This implies a movement from bondage, through transformation and change, to overcoming situations, structures and circumstances that dominate people and rob them of their human dignity and freedom. At stake are issues of social justice and the notion of equality and human dignity. Liberation actions often go hand in hand with processes of democratization.</w:t>
      </w:r>
      <w:r w:rsidR="003A6849">
        <w:rPr>
          <w:rStyle w:val="Voetnootmarkering"/>
          <w:rFonts w:ascii="Verdana" w:hAnsi="Verdana" w:cs="Arial"/>
          <w:sz w:val="24"/>
          <w:lang w:val="en-US"/>
        </w:rPr>
        <w:footnoteReference w:id="11"/>
      </w:r>
    </w:p>
    <w:p w14:paraId="73709727" w14:textId="77777777" w:rsidR="00234CC1" w:rsidRPr="00321F4D" w:rsidRDefault="00234CC1" w:rsidP="00234CC1">
      <w:pPr>
        <w:ind w:left="360"/>
        <w:rPr>
          <w:rFonts w:ascii="Verdana" w:hAnsi="Verdana" w:cs="Arial"/>
          <w:sz w:val="24"/>
          <w:lang w:val="en-US"/>
        </w:rPr>
      </w:pPr>
    </w:p>
    <w:p w14:paraId="73709728" w14:textId="77777777" w:rsidR="00234CC1" w:rsidRPr="00321F4D" w:rsidRDefault="00234CC1" w:rsidP="00234CC1">
      <w:pPr>
        <w:numPr>
          <w:ilvl w:val="0"/>
          <w:numId w:val="2"/>
        </w:numPr>
        <w:contextualSpacing/>
        <w:rPr>
          <w:rFonts w:ascii="Verdana" w:hAnsi="Verdana" w:cs="Arial"/>
          <w:sz w:val="24"/>
          <w:lang w:val="en-US"/>
        </w:rPr>
      </w:pPr>
      <w:r w:rsidRPr="00321F4D">
        <w:rPr>
          <w:rFonts w:ascii="Verdana" w:hAnsi="Verdana" w:cs="Arial"/>
          <w:sz w:val="24"/>
          <w:lang w:val="en-US"/>
        </w:rPr>
        <w:t>Empowering</w:t>
      </w:r>
    </w:p>
    <w:p w14:paraId="73709729" w14:textId="77777777" w:rsidR="00234CC1" w:rsidRPr="00321F4D" w:rsidRDefault="00234CC1" w:rsidP="00234CC1">
      <w:pPr>
        <w:ind w:left="360"/>
        <w:rPr>
          <w:rFonts w:ascii="Verdana" w:hAnsi="Verdana" w:cs="Arial"/>
          <w:sz w:val="24"/>
          <w:lang w:val="en-US"/>
        </w:rPr>
      </w:pPr>
      <w:r w:rsidRPr="00321F4D">
        <w:rPr>
          <w:rFonts w:ascii="Verdana" w:hAnsi="Verdana" w:cs="Arial"/>
          <w:sz w:val="24"/>
          <w:lang w:val="en-US"/>
        </w:rPr>
        <w:t>In empowering, pastoral care needs to deal with issues related to power and the abuse of power. The aim here is to confront powerful institutions and to reveal the abuse of power. Another aspect of empowering is to equip people with the necessary skills and knowledge to prepare them for the various crises we face in life. The main emphasis in empowerment is prevention care, for example, helping people to die before they reach a terminal stage, and enabling couples to understand the nature of love before entering into relationship and marriage.</w:t>
      </w:r>
    </w:p>
    <w:p w14:paraId="7370972A" w14:textId="77777777" w:rsidR="00234CC1" w:rsidRPr="00321F4D" w:rsidRDefault="00234CC1" w:rsidP="00234CC1">
      <w:pPr>
        <w:ind w:left="360"/>
        <w:rPr>
          <w:rFonts w:ascii="Verdana" w:hAnsi="Verdana" w:cs="Arial"/>
          <w:sz w:val="24"/>
          <w:lang w:val="en-US"/>
        </w:rPr>
      </w:pPr>
    </w:p>
    <w:p w14:paraId="7370972B" w14:textId="77777777" w:rsidR="00234CC1" w:rsidRPr="00321F4D" w:rsidRDefault="00234CC1" w:rsidP="00234CC1">
      <w:pPr>
        <w:numPr>
          <w:ilvl w:val="0"/>
          <w:numId w:val="2"/>
        </w:numPr>
        <w:contextualSpacing/>
        <w:rPr>
          <w:rFonts w:ascii="Verdana" w:hAnsi="Verdana" w:cs="Arial"/>
          <w:sz w:val="24"/>
          <w:lang w:val="en-US"/>
        </w:rPr>
      </w:pPr>
      <w:r w:rsidRPr="00321F4D">
        <w:rPr>
          <w:rFonts w:ascii="Verdana" w:hAnsi="Verdana" w:cs="Arial"/>
          <w:sz w:val="24"/>
          <w:lang w:val="en-US"/>
        </w:rPr>
        <w:t>Interpreting</w:t>
      </w:r>
    </w:p>
    <w:p w14:paraId="7370972C" w14:textId="77777777" w:rsidR="00234CC1" w:rsidRPr="00321F4D" w:rsidRDefault="00234CC1" w:rsidP="00234CC1">
      <w:pPr>
        <w:ind w:left="360"/>
        <w:rPr>
          <w:rFonts w:ascii="Verdana" w:hAnsi="Verdana" w:cs="Arial"/>
          <w:sz w:val="24"/>
          <w:lang w:val="en-US"/>
        </w:rPr>
      </w:pPr>
      <w:r w:rsidRPr="00321F4D">
        <w:rPr>
          <w:rFonts w:ascii="Verdana" w:hAnsi="Verdana" w:cs="Arial"/>
          <w:sz w:val="24"/>
          <w:lang w:val="en-US"/>
        </w:rPr>
        <w:t xml:space="preserve">Pastoral care has a hermeneutical task, i.e. to link the stories or narratives of peoples life with the Story or Narrative of the gospel. In this regard a pastoral hermeneutics is about the attempt to understand and interpret the fundamental issues in our being functions in the light of our understanding and experience of God. One can call them existential issues as they are related to our struggle to come to terms with life and our search for meaning in life. In a pastoral hermeneutic the pastor functions as an interpreter or hermeneutist of God images, i.e. people’s perceptions and noetic concepts of God. Here a pastoral assessment, or pastoral diagnosis, is about the appropriateness of God-images (not whether they reflect the confession of a church or community of faith, not whether they are true or false, correct or incorrect, but whether they are appropriate in terms of our human quest for meaning and our struggle to come to terms with human suffering). The function of interpreting is linked to what one may call </w:t>
      </w:r>
      <w:r w:rsidRPr="00321F4D">
        <w:rPr>
          <w:rFonts w:ascii="Verdana" w:hAnsi="Verdana" w:cs="Arial"/>
          <w:i/>
          <w:sz w:val="24"/>
          <w:lang w:val="en-US"/>
        </w:rPr>
        <w:t>philosophical counseling</w:t>
      </w:r>
      <w:r w:rsidRPr="00321F4D">
        <w:rPr>
          <w:rFonts w:ascii="Verdana" w:hAnsi="Verdana" w:cs="Arial"/>
          <w:sz w:val="24"/>
          <w:lang w:val="en-US"/>
        </w:rPr>
        <w:t>. Pastoral care probes into the noetic dimension and schemata of interpretation which dominate the domain of faith and can lead to either spiritual health (appropriateness of spiritual schemata of interpretation) op spiritual pathology (inappropriateness).</w:t>
      </w:r>
    </w:p>
    <w:p w14:paraId="7370972D" w14:textId="77777777" w:rsidR="00234CC1" w:rsidRPr="00321F4D" w:rsidRDefault="00234CC1" w:rsidP="00234CC1">
      <w:pPr>
        <w:rPr>
          <w:rFonts w:ascii="Verdana" w:hAnsi="Verdana" w:cs="Arial"/>
          <w:sz w:val="24"/>
          <w:lang w:val="en-US"/>
        </w:rPr>
      </w:pPr>
    </w:p>
    <w:p w14:paraId="7370972E" w14:textId="3332DA23" w:rsidR="00234CC1" w:rsidRDefault="00234CC1" w:rsidP="00234CC1">
      <w:pPr>
        <w:rPr>
          <w:rFonts w:ascii="Verdana" w:hAnsi="Verdana" w:cs="Arial"/>
          <w:sz w:val="24"/>
          <w:lang w:val="en-US"/>
        </w:rPr>
      </w:pPr>
      <w:r w:rsidRPr="00321F4D">
        <w:rPr>
          <w:rFonts w:ascii="Verdana" w:hAnsi="Verdana" w:cs="Arial"/>
          <w:sz w:val="24"/>
          <w:lang w:val="en-US"/>
        </w:rPr>
        <w:t>These pastoral functions are therapeutic in themselves. Their intension is to foster change and to promote human and spiritual health and maturity. My understanding of the pastoral functions, as well as the different principles within the praxis of pastoral actions and the noetic continuum, presupposes a very specific understanding of the human person (pastoral anthropology): the human person as a spiritual entity endowed with ‘soul’, driven by ultimate norms, values and directed by significance and meaning.</w:t>
      </w:r>
    </w:p>
    <w:p w14:paraId="40E73486" w14:textId="6A64E1EC" w:rsidR="003A6849" w:rsidRDefault="003A6849" w:rsidP="00234CC1">
      <w:pPr>
        <w:rPr>
          <w:rFonts w:ascii="Verdana" w:hAnsi="Verdana" w:cs="Arial"/>
          <w:sz w:val="24"/>
          <w:lang w:val="en-US"/>
        </w:rPr>
      </w:pPr>
    </w:p>
    <w:p w14:paraId="3B3C0DE6" w14:textId="77777777" w:rsidR="003A6849" w:rsidRPr="00321F4D" w:rsidRDefault="003A6849" w:rsidP="004E6D58">
      <w:pPr>
        <w:pStyle w:val="Kop1"/>
        <w:rPr>
          <w:lang w:val="en-US"/>
        </w:rPr>
      </w:pPr>
    </w:p>
    <w:sectPr w:rsidR="003A6849" w:rsidRPr="00321F4D" w:rsidSect="00923A7F">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3709731" w14:textId="77777777" w:rsidR="00145E95" w:rsidRDefault="00145E95" w:rsidP="009C610E">
      <w:pPr>
        <w:spacing w:line="240" w:lineRule="auto"/>
      </w:pPr>
      <w:r>
        <w:separator/>
      </w:r>
    </w:p>
  </w:endnote>
  <w:endnote w:type="continuationSeparator" w:id="0">
    <w:p w14:paraId="73709732" w14:textId="77777777" w:rsidR="00145E95" w:rsidRDefault="00145E95" w:rsidP="009C61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omic Sans MS">
    <w:panose1 w:val="030F0702030302020204"/>
    <w:charset w:val="00"/>
    <w:family w:val="script"/>
    <w:pitch w:val="variable"/>
    <w:sig w:usb0="000002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11579300"/>
      <w:docPartObj>
        <w:docPartGallery w:val="Page Numbers (Bottom of Page)"/>
        <w:docPartUnique/>
      </w:docPartObj>
    </w:sdtPr>
    <w:sdtEndPr/>
    <w:sdtContent>
      <w:p w14:paraId="73709733" w14:textId="77777777" w:rsidR="00321F4D" w:rsidRDefault="00321F4D">
        <w:pPr>
          <w:pStyle w:val="Voettekst"/>
        </w:pPr>
        <w:r>
          <w:rPr>
            <w:noProof/>
          </w:rPr>
          <mc:AlternateContent>
            <mc:Choice Requires="wps">
              <w:drawing>
                <wp:anchor distT="0" distB="0" distL="114300" distR="114300" simplePos="0" relativeHeight="251659264" behindDoc="0" locked="0" layoutInCell="1" allowOverlap="1" wp14:anchorId="73709734" wp14:editId="73709735">
                  <wp:simplePos x="0" y="0"/>
                  <wp:positionH relativeFrom="leftMargin">
                    <wp:align>center</wp:align>
                  </wp:positionH>
                  <wp:positionV relativeFrom="bottomMargin">
                    <wp:align>center</wp:align>
                  </wp:positionV>
                  <wp:extent cx="565785" cy="191770"/>
                  <wp:effectExtent l="0" t="0" r="0" b="0"/>
                  <wp:wrapNone/>
                  <wp:docPr id="1" name="Rechthoek 64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0800000" flipH="1">
                            <a:off x="0" y="0"/>
                            <a:ext cx="565785" cy="191770"/>
                          </a:xfrm>
                          <a:prstGeom prst="rect">
                            <a:avLst/>
                          </a:prstGeom>
                          <a:noFill/>
                          <a:extLst>
                            <a:ext uri="{909E8E84-426E-40DD-AFC4-6F175D3DCCD1}">
                              <a14:hiddenFill xmlns:a14="http://schemas.microsoft.com/office/drawing/2010/main">
                                <a:solidFill>
                                  <a:srgbClr val="C0504D"/>
                                </a:solidFill>
                              </a14:hiddenFill>
                            </a:ext>
                            <a:ext uri="{91240B29-F687-4F45-9708-019B960494DF}">
                              <a14:hiddenLine xmlns:a14="http://schemas.microsoft.com/office/drawing/2010/main" w="28575">
                                <a:solidFill>
                                  <a:srgbClr val="5C83B4"/>
                                </a:solidFill>
                                <a:miter lim="800000"/>
                                <a:headEnd/>
                                <a:tailEnd/>
                              </a14:hiddenLine>
                            </a:ext>
                          </a:extLst>
                        </wps:spPr>
                        <wps:txbx>
                          <w:txbxContent>
                            <w:p w14:paraId="7370973F" w14:textId="6015DF99" w:rsidR="00321F4D" w:rsidRDefault="00321F4D">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4E6D58" w:rsidRPr="004E6D58">
                                <w:rPr>
                                  <w:noProof/>
                                  <w:color w:val="C0504D" w:themeColor="accent2"/>
                                </w:rPr>
                                <w:t>6</w:t>
                              </w:r>
                              <w:r>
                                <w:rPr>
                                  <w:color w:val="C0504D" w:themeColor="accent2"/>
                                </w:rPr>
                                <w:fldChar w:fldCharType="end"/>
                              </w:r>
                            </w:p>
                          </w:txbxContent>
                        </wps:txbx>
                        <wps:bodyPr rot="0" vert="horz" wrap="square" lIns="91440" tIns="0" rIns="91440" bIns="0" anchor="t" anchorCtr="0" upright="1">
                          <a:noAutofit/>
                        </wps:bodyPr>
                      </wps:wsp>
                    </a:graphicData>
                  </a:graphic>
                  <wp14:sizeRelH relativeFrom="page">
                    <wp14:pctWidth>0</wp14:pctWidth>
                  </wp14:sizeRelH>
                  <wp14:sizeRelV relativeFrom="bottomMargin">
                    <wp14:pctHeight>0</wp14:pctHeight>
                  </wp14:sizeRelV>
                </wp:anchor>
              </w:drawing>
            </mc:Choice>
            <mc:Fallback>
              <w:pict>
                <v:rect w14:anchorId="73709734" id="Rechthoek 649" o:spid="_x0000_s1026" style="position:absolute;margin-left:0;margin-top:0;width:44.55pt;height:15.1pt;rotation:180;flip:x;z-index:251659264;visibility:visible;mso-wrap-style:square;mso-width-percent:0;mso-height-percent:0;mso-wrap-distance-left:9pt;mso-wrap-distance-top:0;mso-wrap-distance-right:9pt;mso-wrap-distance-bottom:0;mso-position-horizontal:center;mso-position-horizontal-relative:left-margin-area;mso-position-vertical:center;mso-position-vertical-relative:bottom-margin-area;mso-width-percent:0;mso-height-percent:0;mso-width-relative:page;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" filled="f" fillcolor="#c0504d" stroked="f" strokecolor="#5c83b4" strokeweight="2.25pt">
                  <v:textbox inset=",0,,0">
                    <w:txbxContent>
                      <w:p w14:paraId="7370973F" w14:textId="6015DF99" w:rsidR="00321F4D" w:rsidRDefault="00321F4D">
                        <w:pPr>
                          <w:pBdr>
                            <w:top w:val="single" w:sz="4" w:space="1" w:color="7F7F7F" w:themeColor="background1" w:themeShade="7F"/>
                          </w:pBdr>
                          <w:jc w:val="center"/>
                          <w:rPr>
                            <w:color w:val="C0504D" w:themeColor="accent2"/>
                          </w:rPr>
                        </w:pPr>
                        <w:r>
                          <w:fldChar w:fldCharType="begin"/>
                        </w:r>
                        <w:r>
                          <w:instrText>PAGE   \* MERGEFORMAT</w:instrText>
                        </w:r>
                        <w:r>
                          <w:fldChar w:fldCharType="separate"/>
                        </w:r>
                        <w:r w:rsidR="004E6D58" w:rsidRPr="004E6D58">
                          <w:rPr>
                            <w:noProof/>
                            <w:color w:val="C0504D" w:themeColor="accent2"/>
                          </w:rPr>
                          <w:t>6</w:t>
                        </w:r>
                        <w:r>
                          <w:rPr>
                            <w:color w:val="C0504D" w:themeColor="accent2"/>
                          </w:rPr>
                          <w:fldChar w:fldCharType="end"/>
                        </w:r>
                      </w:p>
                    </w:txbxContent>
                  </v:textbox>
                  <w10:wrap anchorx="margin" anchory="margin"/>
                </v:rect>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70972F" w14:textId="77777777" w:rsidR="00145E95" w:rsidRDefault="00145E95" w:rsidP="009C610E">
      <w:pPr>
        <w:spacing w:line="240" w:lineRule="auto"/>
      </w:pPr>
      <w:r>
        <w:separator/>
      </w:r>
    </w:p>
  </w:footnote>
  <w:footnote w:type="continuationSeparator" w:id="0">
    <w:p w14:paraId="73709730" w14:textId="77777777" w:rsidR="00145E95" w:rsidRDefault="00145E95" w:rsidP="009C610E">
      <w:pPr>
        <w:spacing w:line="240" w:lineRule="auto"/>
      </w:pPr>
      <w:r>
        <w:continuationSeparator/>
      </w:r>
    </w:p>
  </w:footnote>
  <w:footnote w:id="1">
    <w:p w14:paraId="73709736" w14:textId="77777777" w:rsidR="009C610E" w:rsidRDefault="009C610E" w:rsidP="009C610E">
      <w:pPr>
        <w:pStyle w:val="Voetnoottekst"/>
        <w:rPr>
          <w:rFonts w:ascii="Trebuchet MS" w:hAnsi="Trebuchet MS"/>
          <w:sz w:val="16"/>
        </w:rPr>
      </w:pPr>
      <w:r>
        <w:rPr>
          <w:rStyle w:val="Voetnootmarkering"/>
          <w:rFonts w:ascii="Trebuchet MS" w:hAnsi="Trebuchet MS"/>
          <w:sz w:val="16"/>
        </w:rPr>
        <w:footnoteRef/>
      </w:r>
      <w:r>
        <w:rPr>
          <w:rFonts w:ascii="Trebuchet MS" w:hAnsi="Trebuchet MS"/>
          <w:sz w:val="16"/>
        </w:rPr>
        <w:t xml:space="preserve"> Dr. J.W. van Pelt, De pastorale gemeente, over schapen met het hart van een herder, Boekencentrum, Zoetermeer, 2002, blz. 17</w:t>
      </w:r>
    </w:p>
  </w:footnote>
  <w:footnote w:id="2">
    <w:p w14:paraId="73709737" w14:textId="77777777" w:rsidR="009C610E" w:rsidRPr="00D17951" w:rsidRDefault="009C610E" w:rsidP="009C610E">
      <w:pPr>
        <w:pStyle w:val="Voetnoottekst"/>
        <w:rPr>
          <w:rFonts w:ascii="Trebuchet MS" w:hAnsi="Trebuchet MS"/>
          <w:sz w:val="16"/>
          <w:szCs w:val="16"/>
        </w:rPr>
      </w:pPr>
      <w:r w:rsidRPr="00D17951">
        <w:rPr>
          <w:rStyle w:val="Voetnootmarkering"/>
          <w:rFonts w:ascii="Trebuchet MS" w:hAnsi="Trebuchet MS"/>
          <w:sz w:val="16"/>
          <w:szCs w:val="16"/>
        </w:rPr>
        <w:footnoteRef/>
      </w:r>
      <w:r w:rsidRPr="00D17951">
        <w:rPr>
          <w:rFonts w:ascii="Trebuchet MS" w:hAnsi="Trebuchet MS"/>
          <w:sz w:val="16"/>
          <w:szCs w:val="16"/>
        </w:rPr>
        <w:t xml:space="preserve"> </w:t>
      </w:r>
      <w:r w:rsidRPr="00D17951">
        <w:rPr>
          <w:rFonts w:ascii="Trebuchet MS" w:hAnsi="Trebuchet MS"/>
          <w:bCs/>
          <w:sz w:val="16"/>
          <w:szCs w:val="16"/>
        </w:rPr>
        <w:t>Vanouds werd ‘parakaleo’ in het Nederlands vertaald met ‘vermanen’. Een doopsgezinde kerk heet in Noord-Holland een vermaning, het gebouw dus!</w:t>
      </w:r>
    </w:p>
  </w:footnote>
  <w:footnote w:id="3">
    <w:p w14:paraId="73709738" w14:textId="77777777" w:rsidR="009C610E" w:rsidRDefault="009C610E" w:rsidP="009C610E">
      <w:pPr>
        <w:pStyle w:val="Voetnoottekst"/>
        <w:rPr>
          <w:rFonts w:ascii="Trebuchet MS" w:hAnsi="Trebuchet MS"/>
          <w:sz w:val="16"/>
        </w:rPr>
      </w:pPr>
      <w:r>
        <w:rPr>
          <w:rStyle w:val="Voetnootmarkering"/>
          <w:rFonts w:ascii="Trebuchet MS" w:hAnsi="Trebuchet MS"/>
          <w:sz w:val="16"/>
        </w:rPr>
        <w:footnoteRef/>
      </w:r>
      <w:r>
        <w:rPr>
          <w:rFonts w:ascii="Trebuchet MS" w:hAnsi="Trebuchet MS"/>
          <w:sz w:val="16"/>
        </w:rPr>
        <w:t xml:space="preserve"> Dr. G. Heitink, Gids voor het pastoraat, deel 1 theologie en gemeente, Kok, Kampen, 1983,  blz. 33</w:t>
      </w:r>
    </w:p>
  </w:footnote>
  <w:footnote w:id="4">
    <w:p w14:paraId="73709739" w14:textId="77777777" w:rsidR="009C610E" w:rsidRDefault="009C610E" w:rsidP="009C610E">
      <w:pPr>
        <w:pStyle w:val="Voetnoottekst"/>
        <w:rPr>
          <w:rFonts w:ascii="Trebuchet MS" w:hAnsi="Trebuchet MS" w:cs="Arial"/>
          <w:sz w:val="16"/>
          <w:szCs w:val="14"/>
        </w:rPr>
      </w:pPr>
      <w:r>
        <w:rPr>
          <w:rStyle w:val="Voetnootmarkering"/>
          <w:rFonts w:ascii="Trebuchet MS" w:hAnsi="Trebuchet MS" w:cs="Arial"/>
          <w:sz w:val="16"/>
          <w:szCs w:val="14"/>
        </w:rPr>
        <w:footnoteRef/>
      </w:r>
      <w:r>
        <w:rPr>
          <w:rFonts w:ascii="Trebuchet MS" w:hAnsi="Trebuchet MS" w:cs="Arial"/>
          <w:sz w:val="16"/>
          <w:szCs w:val="14"/>
        </w:rPr>
        <w:t xml:space="preserve"> Corja Menken-Bekius, Henk van der Meulen, Reflecteren kun je leren, Kok Kampen 2007, blz.181</w:t>
      </w:r>
    </w:p>
  </w:footnote>
  <w:footnote w:id="5">
    <w:p w14:paraId="7370973A" w14:textId="77777777" w:rsidR="009C610E" w:rsidRDefault="009C610E" w:rsidP="009C610E">
      <w:pPr>
        <w:pStyle w:val="Voetnoottekst"/>
        <w:rPr>
          <w:rFonts w:ascii="Trebuchet MS" w:hAnsi="Trebuchet MS"/>
          <w:sz w:val="16"/>
        </w:rPr>
      </w:pPr>
      <w:r>
        <w:rPr>
          <w:rStyle w:val="Voetnootmarkering"/>
          <w:rFonts w:ascii="Trebuchet MS" w:hAnsi="Trebuchet MS"/>
          <w:sz w:val="16"/>
        </w:rPr>
        <w:footnoteRef/>
      </w:r>
      <w:r>
        <w:rPr>
          <w:rFonts w:ascii="Trebuchet MS" w:hAnsi="Trebuchet MS"/>
          <w:sz w:val="16"/>
        </w:rPr>
        <w:t xml:space="preserve"> Dr. J.W. van Pelt, De pastorale gemeente, over schapen met het hart van een herder, Boekencentrum, Zoetermeer, 2002, blz. 39</w:t>
      </w:r>
    </w:p>
  </w:footnote>
  <w:footnote w:id="6">
    <w:p w14:paraId="7370973B" w14:textId="77777777" w:rsidR="009C610E" w:rsidRDefault="009C610E" w:rsidP="009C610E">
      <w:pPr>
        <w:pStyle w:val="Voetnoottekst"/>
      </w:pPr>
      <w:r w:rsidRPr="00B60360">
        <w:rPr>
          <w:rStyle w:val="Voetnootmarkering"/>
          <w:rFonts w:ascii="Trebuchet MS" w:hAnsi="Trebuchet MS"/>
          <w:sz w:val="16"/>
          <w:szCs w:val="16"/>
        </w:rPr>
        <w:footnoteRef/>
      </w:r>
      <w:r w:rsidRPr="00B60360">
        <w:rPr>
          <w:rFonts w:ascii="Trebuchet MS" w:hAnsi="Trebuchet MS"/>
          <w:sz w:val="16"/>
          <w:szCs w:val="16"/>
        </w:rPr>
        <w:t xml:space="preserve"> Zie voor deze functie </w:t>
      </w:r>
      <w:r>
        <w:rPr>
          <w:rFonts w:ascii="Trebuchet MS" w:hAnsi="Trebuchet MS"/>
          <w:sz w:val="16"/>
          <w:szCs w:val="16"/>
        </w:rPr>
        <w:t xml:space="preserve"> drs J. he</w:t>
      </w:r>
      <w:r w:rsidRPr="00B60360">
        <w:rPr>
          <w:rFonts w:ascii="Trebuchet MS" w:hAnsi="Trebuchet MS"/>
          <w:sz w:val="16"/>
          <w:szCs w:val="16"/>
        </w:rPr>
        <w:t>t Lam, ‘V</w:t>
      </w:r>
      <w:r>
        <w:rPr>
          <w:rFonts w:ascii="Trebuchet MS" w:hAnsi="Trebuchet MS"/>
          <w:sz w:val="16"/>
          <w:szCs w:val="16"/>
        </w:rPr>
        <w:t>riend van zondaren, over v</w:t>
      </w:r>
      <w:r w:rsidRPr="00B60360">
        <w:rPr>
          <w:rFonts w:ascii="Trebuchet MS" w:hAnsi="Trebuchet MS"/>
          <w:sz w:val="16"/>
          <w:szCs w:val="16"/>
        </w:rPr>
        <w:t>ermanen in het pastoraat’.</w:t>
      </w:r>
    </w:p>
  </w:footnote>
  <w:footnote w:id="7">
    <w:p w14:paraId="7370973C" w14:textId="77777777" w:rsidR="009C610E" w:rsidRPr="00B60360" w:rsidRDefault="009C610E" w:rsidP="009C610E">
      <w:pPr>
        <w:pStyle w:val="Voetnoottekst"/>
        <w:rPr>
          <w:rFonts w:ascii="Trebuchet MS" w:hAnsi="Trebuchet MS"/>
          <w:sz w:val="16"/>
          <w:szCs w:val="16"/>
        </w:rPr>
      </w:pPr>
      <w:r w:rsidRPr="00B60360">
        <w:rPr>
          <w:rStyle w:val="Voetnootmarkering"/>
          <w:rFonts w:ascii="Trebuchet MS" w:hAnsi="Trebuchet MS"/>
          <w:sz w:val="16"/>
          <w:szCs w:val="16"/>
        </w:rPr>
        <w:footnoteRef/>
      </w:r>
      <w:r w:rsidRPr="00B60360">
        <w:rPr>
          <w:rFonts w:ascii="Trebuchet MS" w:hAnsi="Trebuchet MS"/>
          <w:sz w:val="16"/>
          <w:szCs w:val="16"/>
        </w:rPr>
        <w:t xml:space="preserve"> De oudste vormen van pastoraat in de Nederlandse kerken zijn: stervenden bezoeken (dat is iets anders dan zieken begeleiden!) en mensen thuis in korte bezoekjes oproepen dat ze in de aankomende zondagse kerkdienst aan het Heilig Avondmaal kunnen deelnemen en zich daarop geestelijk </w:t>
      </w:r>
      <w:r>
        <w:rPr>
          <w:rFonts w:ascii="Trebuchet MS" w:hAnsi="Trebuchet MS"/>
          <w:sz w:val="16"/>
          <w:szCs w:val="16"/>
        </w:rPr>
        <w:t xml:space="preserve">en in de levenswandel </w:t>
      </w:r>
      <w:r w:rsidRPr="00B60360">
        <w:rPr>
          <w:rFonts w:ascii="Trebuchet MS" w:hAnsi="Trebuchet MS"/>
          <w:sz w:val="16"/>
          <w:szCs w:val="16"/>
        </w:rPr>
        <w:t>moeten voorbereiden. Pas in de 19</w:t>
      </w:r>
      <w:r w:rsidRPr="00B60360">
        <w:rPr>
          <w:rFonts w:ascii="Trebuchet MS" w:hAnsi="Trebuchet MS"/>
          <w:sz w:val="16"/>
          <w:szCs w:val="16"/>
          <w:vertAlign w:val="superscript"/>
        </w:rPr>
        <w:t>e</w:t>
      </w:r>
      <w:r w:rsidRPr="00B60360">
        <w:rPr>
          <w:rFonts w:ascii="Trebuchet MS" w:hAnsi="Trebuchet MS"/>
          <w:sz w:val="16"/>
          <w:szCs w:val="16"/>
        </w:rPr>
        <w:t xml:space="preserve"> eeuw werd pastoraat breder.</w:t>
      </w:r>
    </w:p>
  </w:footnote>
  <w:footnote w:id="8">
    <w:p w14:paraId="7370973D" w14:textId="77777777" w:rsidR="00A00678" w:rsidRPr="003741DF" w:rsidRDefault="00A00678">
      <w:pPr>
        <w:pStyle w:val="Voetnoottekst"/>
        <w:rPr>
          <w:rFonts w:ascii="Trebuchet MS" w:hAnsi="Trebuchet MS"/>
          <w:sz w:val="16"/>
          <w:szCs w:val="16"/>
        </w:rPr>
      </w:pPr>
      <w:r w:rsidRPr="003741DF">
        <w:rPr>
          <w:rStyle w:val="Voetnootmarkering"/>
          <w:rFonts w:ascii="Trebuchet MS" w:hAnsi="Trebuchet MS"/>
          <w:sz w:val="16"/>
          <w:szCs w:val="16"/>
        </w:rPr>
        <w:footnoteRef/>
      </w:r>
      <w:r w:rsidRPr="003741DF">
        <w:rPr>
          <w:rFonts w:ascii="Trebuchet MS" w:hAnsi="Trebuchet MS"/>
          <w:sz w:val="16"/>
          <w:szCs w:val="16"/>
        </w:rPr>
        <w:t xml:space="preserve"> </w:t>
      </w:r>
      <w:r w:rsidR="003741DF" w:rsidRPr="003741DF">
        <w:rPr>
          <w:rFonts w:ascii="Trebuchet MS" w:hAnsi="Trebuchet MS"/>
          <w:sz w:val="16"/>
          <w:szCs w:val="16"/>
        </w:rPr>
        <w:t>Daniël J. Louw, Pastoraat as vertolking en ontmoeting, Kaapstad 1999, blz.560,561</w:t>
      </w:r>
    </w:p>
  </w:footnote>
  <w:footnote w:id="9">
    <w:p w14:paraId="7370973E" w14:textId="77777777" w:rsidR="00234CC1" w:rsidRDefault="00234CC1" w:rsidP="00234CC1">
      <w:pPr>
        <w:pStyle w:val="Voetnoottekst"/>
      </w:pPr>
      <w:r>
        <w:rPr>
          <w:rStyle w:val="Voetnootmarkering"/>
        </w:rPr>
        <w:footnoteRef/>
      </w:r>
      <w:r>
        <w:t xml:space="preserve"> Het Latijn voor: zorg voor de geesten of zielen, zielszorg dus. De auteur kiest zelf voor een bredere term, pastoraat als </w:t>
      </w:r>
      <w:r w:rsidRPr="00D85A17">
        <w:rPr>
          <w:i/>
        </w:rPr>
        <w:t>cura vitae</w:t>
      </w:r>
      <w:r>
        <w:t>: zorg voor het leven.</w:t>
      </w:r>
    </w:p>
  </w:footnote>
  <w:footnote w:id="10">
    <w:p w14:paraId="21DAD255" w14:textId="37BBF5B7" w:rsidR="003A6849" w:rsidRDefault="003A6849">
      <w:pPr>
        <w:pStyle w:val="Voetnoottekst"/>
      </w:pPr>
      <w:r>
        <w:rPr>
          <w:rStyle w:val="Voetnootmarkering"/>
        </w:rPr>
        <w:footnoteRef/>
      </w:r>
      <w:r>
        <w:t xml:space="preserve"> Louw vult ‘voeden’ vooral psychologisch in. Mensen worden gevoed zodat ze een volwassen identiteit ontwikkelen. Als je het meer geestelijk invult, komt het dichtbij de functie ‘toerusten’ van Van Pelt. </w:t>
      </w:r>
    </w:p>
  </w:footnote>
  <w:footnote w:id="11">
    <w:p w14:paraId="79DE3C38" w14:textId="2F44D3B9" w:rsidR="003A6849" w:rsidRDefault="003A6849">
      <w:pPr>
        <w:pStyle w:val="Voetnoottekst"/>
      </w:pPr>
      <w:r>
        <w:rPr>
          <w:rStyle w:val="Voetnootmarkering"/>
        </w:rPr>
        <w:footnoteRef/>
      </w:r>
      <w:r>
        <w:t xml:space="preserve"> Ook hier kiest Louw voor de meer horizontale invulling: bevrijding van slavernij en verslaving. In zijn Zuidafrikaanse context is dat goed te begrijpen. Deze invulling is </w:t>
      </w:r>
      <w:bookmarkStart w:id="1" w:name="_GoBack"/>
      <w:bookmarkEnd w:id="1"/>
      <w:r>
        <w:t>te combineren met geestelijke aspecten. Denk ook aan de charismatische benadering van ‘bevrijden’: bevrijden van ziekten en demonen.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5BBC0CA2"/>
    <w:multiLevelType w:val="hybridMultilevel"/>
    <w:tmpl w:val="CD4ECF9E"/>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74065B4A"/>
    <w:multiLevelType w:val="singleLevel"/>
    <w:tmpl w:val="0413000F"/>
    <w:lvl w:ilvl="0">
      <w:start w:val="1"/>
      <w:numFmt w:val="decimal"/>
      <w:lvlText w:val="%1."/>
      <w:lvlJc w:val="left"/>
      <w:pPr>
        <w:tabs>
          <w:tab w:val="num" w:pos="360"/>
        </w:tabs>
        <w:ind w:left="360" w:hanging="360"/>
      </w:pPr>
      <w:rPr>
        <w:rFont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C610E"/>
    <w:rsid w:val="00145E95"/>
    <w:rsid w:val="00161E3A"/>
    <w:rsid w:val="00234CC1"/>
    <w:rsid w:val="00321F4D"/>
    <w:rsid w:val="003741DF"/>
    <w:rsid w:val="003A6849"/>
    <w:rsid w:val="004E6D58"/>
    <w:rsid w:val="005E0730"/>
    <w:rsid w:val="006607CD"/>
    <w:rsid w:val="006956E9"/>
    <w:rsid w:val="006C7F16"/>
    <w:rsid w:val="008225CA"/>
    <w:rsid w:val="00846021"/>
    <w:rsid w:val="008855F3"/>
    <w:rsid w:val="00923A7F"/>
    <w:rsid w:val="009C610E"/>
    <w:rsid w:val="00A00678"/>
    <w:rsid w:val="00C04A80"/>
    <w:rsid w:val="00C54FE0"/>
    <w:rsid w:val="00CB21BD"/>
    <w:rsid w:val="00D50B71"/>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37096E3"/>
  <w15:docId w15:val="{BCB6DA65-6697-4B48-88F8-3CABCBD07F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ard">
    <w:name w:val="Normal"/>
    <w:qFormat/>
    <w:rsid w:val="009C610E"/>
    <w:pPr>
      <w:spacing w:after="0" w:line="240" w:lineRule="atLeast"/>
    </w:pPr>
    <w:rPr>
      <w:rFonts w:ascii="Trebuchet MS" w:eastAsia="Times New Roman" w:hAnsi="Trebuchet MS" w:cs="Times New Roman"/>
      <w:sz w:val="20"/>
      <w:szCs w:val="24"/>
      <w:lang w:eastAsia="nl-NL"/>
    </w:rPr>
  </w:style>
  <w:style w:type="paragraph" w:styleId="Kop1">
    <w:name w:val="heading 1"/>
    <w:basedOn w:val="Standaard"/>
    <w:next w:val="Standaard"/>
    <w:link w:val="Kop1Char"/>
    <w:uiPriority w:val="9"/>
    <w:qFormat/>
    <w:rsid w:val="004E6D58"/>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Voettekst">
    <w:name w:val="footer"/>
    <w:basedOn w:val="Standaard"/>
    <w:link w:val="VoettekstChar"/>
    <w:semiHidden/>
    <w:rsid w:val="009C610E"/>
    <w:pPr>
      <w:tabs>
        <w:tab w:val="center" w:pos="4536"/>
        <w:tab w:val="right" w:pos="9072"/>
      </w:tabs>
    </w:pPr>
  </w:style>
  <w:style w:type="character" w:customStyle="1" w:styleId="VoettekstChar">
    <w:name w:val="Voettekst Char"/>
    <w:basedOn w:val="Standaardalinea-lettertype"/>
    <w:link w:val="Voettekst"/>
    <w:semiHidden/>
    <w:rsid w:val="009C610E"/>
    <w:rPr>
      <w:rFonts w:ascii="Trebuchet MS" w:eastAsia="Times New Roman" w:hAnsi="Trebuchet MS" w:cs="Times New Roman"/>
      <w:sz w:val="20"/>
      <w:szCs w:val="24"/>
      <w:lang w:eastAsia="nl-NL"/>
    </w:rPr>
  </w:style>
  <w:style w:type="paragraph" w:styleId="Voetnoottekst">
    <w:name w:val="footnote text"/>
    <w:basedOn w:val="Standaard"/>
    <w:link w:val="VoetnoottekstChar"/>
    <w:semiHidden/>
    <w:rsid w:val="009C610E"/>
    <w:pPr>
      <w:spacing w:line="240" w:lineRule="auto"/>
    </w:pPr>
    <w:rPr>
      <w:rFonts w:ascii="Comic Sans MS" w:hAnsi="Comic Sans MS"/>
      <w:szCs w:val="20"/>
    </w:rPr>
  </w:style>
  <w:style w:type="character" w:customStyle="1" w:styleId="VoetnoottekstChar">
    <w:name w:val="Voetnoottekst Char"/>
    <w:basedOn w:val="Standaardalinea-lettertype"/>
    <w:link w:val="Voetnoottekst"/>
    <w:semiHidden/>
    <w:rsid w:val="009C610E"/>
    <w:rPr>
      <w:rFonts w:ascii="Comic Sans MS" w:eastAsia="Times New Roman" w:hAnsi="Comic Sans MS" w:cs="Times New Roman"/>
      <w:sz w:val="20"/>
      <w:szCs w:val="20"/>
      <w:lang w:eastAsia="nl-NL"/>
    </w:rPr>
  </w:style>
  <w:style w:type="character" w:styleId="Voetnootmarkering">
    <w:name w:val="footnote reference"/>
    <w:basedOn w:val="Standaardalinea-lettertype"/>
    <w:uiPriority w:val="99"/>
    <w:semiHidden/>
    <w:rsid w:val="009C610E"/>
    <w:rPr>
      <w:vertAlign w:val="superscript"/>
    </w:rPr>
  </w:style>
  <w:style w:type="paragraph" w:styleId="Koptekst">
    <w:name w:val="header"/>
    <w:basedOn w:val="Standaard"/>
    <w:link w:val="KoptekstChar"/>
    <w:uiPriority w:val="99"/>
    <w:unhideWhenUsed/>
    <w:rsid w:val="00321F4D"/>
    <w:pPr>
      <w:tabs>
        <w:tab w:val="center" w:pos="4536"/>
        <w:tab w:val="right" w:pos="9072"/>
      </w:tabs>
      <w:spacing w:line="240" w:lineRule="auto"/>
    </w:pPr>
  </w:style>
  <w:style w:type="character" w:customStyle="1" w:styleId="KoptekstChar">
    <w:name w:val="Koptekst Char"/>
    <w:basedOn w:val="Standaardalinea-lettertype"/>
    <w:link w:val="Koptekst"/>
    <w:uiPriority w:val="99"/>
    <w:rsid w:val="00321F4D"/>
    <w:rPr>
      <w:rFonts w:ascii="Trebuchet MS" w:eastAsia="Times New Roman" w:hAnsi="Trebuchet MS" w:cs="Times New Roman"/>
      <w:sz w:val="20"/>
      <w:szCs w:val="24"/>
      <w:lang w:eastAsia="nl-NL"/>
    </w:rPr>
  </w:style>
  <w:style w:type="paragraph" w:styleId="Geenafstand">
    <w:name w:val="No Spacing"/>
    <w:uiPriority w:val="1"/>
    <w:qFormat/>
    <w:rsid w:val="004E6D58"/>
    <w:pPr>
      <w:spacing w:after="0" w:line="240" w:lineRule="auto"/>
    </w:pPr>
    <w:rPr>
      <w:rFonts w:ascii="Trebuchet MS" w:eastAsia="Times New Roman" w:hAnsi="Trebuchet MS" w:cs="Times New Roman"/>
      <w:sz w:val="20"/>
      <w:szCs w:val="24"/>
      <w:lang w:eastAsia="nl-NL"/>
    </w:rPr>
  </w:style>
  <w:style w:type="character" w:customStyle="1" w:styleId="Kop1Char">
    <w:name w:val="Kop 1 Char"/>
    <w:basedOn w:val="Standaardalinea-lettertype"/>
    <w:link w:val="Kop1"/>
    <w:uiPriority w:val="9"/>
    <w:rsid w:val="004E6D58"/>
    <w:rPr>
      <w:rFonts w:asciiTheme="majorHAnsi" w:eastAsiaTheme="majorEastAsia" w:hAnsiTheme="majorHAnsi" w:cstheme="majorBidi"/>
      <w:color w:val="365F91" w:themeColor="accent1" w:themeShade="BF"/>
      <w:sz w:val="32"/>
      <w:szCs w:val="32"/>
      <w:lang w:eastAsia="nl-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E2CB3F0-514A-4FA4-AB13-230CC9DBD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6</Pages>
  <Words>2195</Words>
  <Characters>12074</Characters>
  <Application>Microsoft Office Word</Application>
  <DocSecurity>0</DocSecurity>
  <Lines>100</Lines>
  <Paragraphs>28</Paragraphs>
  <ScaleCrop>false</ScaleCrop>
  <HeadingPairs>
    <vt:vector size="2" baseType="variant">
      <vt:variant>
        <vt:lpstr>Titel</vt:lpstr>
      </vt:variant>
      <vt:variant>
        <vt:i4>1</vt:i4>
      </vt:variant>
    </vt:vector>
  </HeadingPairs>
  <TitlesOfParts>
    <vt:vector size="1" baseType="lpstr">
      <vt:lpstr/>
    </vt:vector>
  </TitlesOfParts>
  <Company>CHE</Company>
  <LinksUpToDate>false</LinksUpToDate>
  <CharactersWithSpaces>14241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N.C. van der Voet</dc:creator>
  <cp:lastModifiedBy>Voet van der, Nico</cp:lastModifiedBy>
  <cp:revision>5</cp:revision>
  <dcterms:created xsi:type="dcterms:W3CDTF">2015-02-11T15:26:00Z</dcterms:created>
  <dcterms:modified xsi:type="dcterms:W3CDTF">2020-07-16T13:09:00Z</dcterms:modified>
</cp:coreProperties>
</file>