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9FA85" w14:textId="77777777" w:rsidR="00A5439D" w:rsidRPr="00A820F8" w:rsidRDefault="009A55CE">
      <w:pPr>
        <w:rPr>
          <w:rFonts w:ascii="Verdana" w:hAnsi="Verdana"/>
          <w:b/>
          <w:sz w:val="32"/>
          <w:szCs w:val="32"/>
        </w:rPr>
      </w:pPr>
      <w:r w:rsidRPr="00A820F8">
        <w:rPr>
          <w:rFonts w:ascii="Verdana" w:hAnsi="Verdana"/>
          <w:b/>
          <w:sz w:val="32"/>
          <w:szCs w:val="32"/>
        </w:rPr>
        <w:t>Klagen of dragen?</w:t>
      </w:r>
      <w:bookmarkStart w:id="0" w:name="_GoBack"/>
      <w:bookmarkEnd w:id="0"/>
    </w:p>
    <w:p w14:paraId="4C12B0A7" w14:textId="640E845D" w:rsidR="003A3323" w:rsidRPr="00A820F8" w:rsidRDefault="009A55CE">
      <w:pPr>
        <w:rPr>
          <w:rFonts w:ascii="Verdana" w:hAnsi="Verdana"/>
        </w:rPr>
      </w:pPr>
      <w:r w:rsidRPr="00A820F8">
        <w:rPr>
          <w:rFonts w:ascii="Verdana" w:hAnsi="Verdana"/>
        </w:rPr>
        <w:t>Je kent de uitspraak</w:t>
      </w:r>
      <w:r w:rsidR="000E76F5" w:rsidRPr="00A820F8">
        <w:rPr>
          <w:rFonts w:ascii="Verdana" w:hAnsi="Verdana"/>
        </w:rPr>
        <w:t xml:space="preserve"> </w:t>
      </w:r>
      <w:r w:rsidRPr="00A820F8">
        <w:rPr>
          <w:rFonts w:ascii="Verdana" w:hAnsi="Verdana"/>
        </w:rPr>
        <w:t xml:space="preserve">misschien: ‘Niet klagen maar dragen en bidden om kracht’. Daar zit veel in. Tegenslag, dus ook een overlijden van iemand van wie je houdt, moet je vroeg of laat accepteren. Je moet niet blijven mopperen. Dat helpt toch niet. Zet je schouders eronder. Wees een kerel, wees een vrouw. Ga door met leven. Je weet bij wie je terecht kunt om kracht te ontvangen, bij God. Hij zal je helpen.  </w:t>
      </w:r>
      <w:r w:rsidR="00DD6DDF" w:rsidRPr="00A820F8">
        <w:rPr>
          <w:rFonts w:ascii="Verdana" w:hAnsi="Verdana"/>
        </w:rPr>
        <w:t>Ga niet liggen onder je kruis, maar neem het op je en volg ook als mens met verdriet Jezus na.</w:t>
      </w:r>
    </w:p>
    <w:p w14:paraId="540DCC6C" w14:textId="72F10BCE" w:rsidR="003A3323" w:rsidRPr="00A820F8" w:rsidRDefault="000E76F5">
      <w:pPr>
        <w:rPr>
          <w:rFonts w:ascii="Verdana" w:hAnsi="Verdana"/>
        </w:rPr>
      </w:pPr>
      <w:r w:rsidRPr="00A820F8">
        <w:rPr>
          <w:rFonts w:ascii="Verdana" w:hAnsi="Verdana"/>
        </w:rPr>
        <w:t>Ook al begrijp ik wat er bedoeld wordt, vind ik het</w:t>
      </w:r>
      <w:r w:rsidR="009A55CE" w:rsidRPr="00A820F8">
        <w:rPr>
          <w:rFonts w:ascii="Verdana" w:hAnsi="Verdana"/>
        </w:rPr>
        <w:t xml:space="preserve"> toch echt een uitspraak van vroeger. Er spreekt iets berustends uit. Dat had men </w:t>
      </w:r>
      <w:r w:rsidRPr="00A820F8">
        <w:rPr>
          <w:rFonts w:ascii="Verdana" w:hAnsi="Verdana"/>
        </w:rPr>
        <w:t>vroeger vaker bij tegenslagen, s</w:t>
      </w:r>
      <w:r w:rsidR="009A55CE" w:rsidRPr="00A820F8">
        <w:rPr>
          <w:rFonts w:ascii="Verdana" w:hAnsi="Verdana"/>
        </w:rPr>
        <w:t xml:space="preserve">oms ingegeven door het geloof. ‘Het zijn niet de mensen die dit je aandoen’ kon iemand als te haastige troost melden als hij op rouwbezoek kwam. Een mens moet het leven nemen zoals het komt. </w:t>
      </w:r>
      <w:r w:rsidR="003A3323" w:rsidRPr="00A820F8">
        <w:rPr>
          <w:rFonts w:ascii="Verdana" w:hAnsi="Verdana"/>
        </w:rPr>
        <w:t>‘De Here heeft gegeven, de Here heeft genomen.’ Je moet je er maar bij neerleggen.</w:t>
      </w:r>
    </w:p>
    <w:p w14:paraId="299096FA" w14:textId="288E01E2" w:rsidR="003A3323" w:rsidRPr="00A820F8" w:rsidRDefault="003A3323">
      <w:pPr>
        <w:rPr>
          <w:rFonts w:ascii="Verdana" w:hAnsi="Verdana"/>
        </w:rPr>
      </w:pPr>
      <w:r w:rsidRPr="00A820F8">
        <w:rPr>
          <w:rFonts w:ascii="Verdana" w:hAnsi="Verdana"/>
        </w:rPr>
        <w:t xml:space="preserve">Het is niet alleen een uitspraak van vroeger, maar eigenlijk meer islamitisch dan christelijk te noemen. Moslims hebben als hoogste levensdoel: aanvaarden wat Allah je </w:t>
      </w:r>
      <w:proofErr w:type="spellStart"/>
      <w:r w:rsidRPr="00A820F8">
        <w:rPr>
          <w:rFonts w:ascii="Verdana" w:hAnsi="Verdana"/>
        </w:rPr>
        <w:t>toeschikt</w:t>
      </w:r>
      <w:proofErr w:type="spellEnd"/>
      <w:r w:rsidRPr="00A820F8">
        <w:rPr>
          <w:rFonts w:ascii="Verdana" w:hAnsi="Verdana"/>
        </w:rPr>
        <w:t xml:space="preserve">. Onderwerp je aan Hem. Daar past bij wat wij christenen zingen: ‘Leer mij volgen zonder vragen, Vader wat Gij doet is goed’. Ook die regel, uit het gezang ‘Wat de toekomst brengen moge, mij geleid des Heren hand’ is dus eigenlijk meer islamitisch dan christelijk te noemen. Uitgerekend dat gezang is populair in rouwdiensten! </w:t>
      </w:r>
    </w:p>
    <w:p w14:paraId="008AEA93" w14:textId="34B8F592" w:rsidR="003A3323" w:rsidRPr="00A820F8" w:rsidRDefault="003A3323">
      <w:pPr>
        <w:rPr>
          <w:rFonts w:ascii="Verdana" w:hAnsi="Verdana"/>
        </w:rPr>
      </w:pPr>
      <w:r w:rsidRPr="00A820F8">
        <w:rPr>
          <w:rFonts w:ascii="Verdana" w:hAnsi="Verdana"/>
        </w:rPr>
        <w:t>Nogmaals, ik begrijp de bedoeling wel. We moeten ervoor uitkijken dat we niet vastlopen in opstandigheid. Maar het is</w:t>
      </w:r>
      <w:r w:rsidR="009A55CE" w:rsidRPr="00A820F8">
        <w:rPr>
          <w:rFonts w:ascii="Verdana" w:hAnsi="Verdana"/>
        </w:rPr>
        <w:t xml:space="preserve"> eenzijdig. </w:t>
      </w:r>
      <w:r w:rsidRPr="00A820F8">
        <w:rPr>
          <w:rFonts w:ascii="Verdana" w:hAnsi="Verdana"/>
        </w:rPr>
        <w:t xml:space="preserve">In het christelijk geloof is de relatie met God helemaal niet zo berustend. </w:t>
      </w:r>
      <w:r w:rsidR="009A55CE" w:rsidRPr="00A820F8">
        <w:rPr>
          <w:rFonts w:ascii="Verdana" w:hAnsi="Verdana"/>
        </w:rPr>
        <w:t xml:space="preserve">De fout </w:t>
      </w:r>
      <w:r w:rsidR="0019319D" w:rsidRPr="00A820F8">
        <w:rPr>
          <w:rFonts w:ascii="Verdana" w:hAnsi="Verdana"/>
        </w:rPr>
        <w:t xml:space="preserve">bij ‘niet klagen maar dragen’ </w:t>
      </w:r>
      <w:r w:rsidR="009A55CE" w:rsidRPr="00A820F8">
        <w:rPr>
          <w:rFonts w:ascii="Verdana" w:hAnsi="Verdana"/>
        </w:rPr>
        <w:t>zit in de woordjes ‘niet’ en ‘maar’. Waarom zou een mens niet mogen klagen</w:t>
      </w:r>
      <w:r w:rsidR="000E76F5" w:rsidRPr="00A820F8">
        <w:rPr>
          <w:rFonts w:ascii="Verdana" w:hAnsi="Verdana"/>
        </w:rPr>
        <w:t xml:space="preserve"> als</w:t>
      </w:r>
      <w:r w:rsidR="009A55CE" w:rsidRPr="00A820F8">
        <w:rPr>
          <w:rFonts w:ascii="Verdana" w:hAnsi="Verdana"/>
        </w:rPr>
        <w:t xml:space="preserve"> </w:t>
      </w:r>
      <w:r w:rsidR="000E76F5" w:rsidRPr="00A820F8">
        <w:rPr>
          <w:rFonts w:ascii="Verdana" w:hAnsi="Verdana"/>
        </w:rPr>
        <w:t xml:space="preserve">hij </w:t>
      </w:r>
      <w:r w:rsidR="009A55CE" w:rsidRPr="00A820F8">
        <w:rPr>
          <w:rFonts w:ascii="Verdana" w:hAnsi="Verdana"/>
        </w:rPr>
        <w:t xml:space="preserve"> in nood </w:t>
      </w:r>
      <w:r w:rsidR="000E76F5" w:rsidRPr="00A820F8">
        <w:rPr>
          <w:rFonts w:ascii="Verdana" w:hAnsi="Verdana"/>
        </w:rPr>
        <w:t>is?</w:t>
      </w:r>
      <w:r w:rsidR="009A55CE" w:rsidRPr="00A820F8">
        <w:rPr>
          <w:rFonts w:ascii="Verdana" w:hAnsi="Verdana"/>
        </w:rPr>
        <w:t xml:space="preserve"> Lees de psalmen in de bijbel maar! Daarin horen we veel zuchten en roepen en vragen en klagen. Ik zou de uitspraak daarom graag veranderen in ‘Klaag maar! Probeer te dragen en bid om kracht!’ Klagen én dragen én bidden gaan prima samen. Het is ook geen na elkaar. Dan zou je eerst een periode van klagen kennen en dan komt het dragen en bidden. Dat loopt echter door elkaar en mag ook door elkaar lopen. Rouwen is een chaotisch proces. Vandaag bid je vol overgave tot God. En morgen klaag je Hem aan dat Hij je in de steek gelaten heeft. En overmorgen probeer je je sch</w:t>
      </w:r>
      <w:r w:rsidR="00DD6DDF" w:rsidRPr="00A820F8">
        <w:rPr>
          <w:rFonts w:ascii="Verdana" w:hAnsi="Verdana"/>
        </w:rPr>
        <w:t>ouders er weer onder te zetten. Zelfbeklag – hoe begrijpelijk ook - is een molensteen om je nek. Als rouwende je pijn als klacht bij God neerleggen, hoort er wat mij betreft helemaal bij.</w:t>
      </w:r>
    </w:p>
    <w:p w14:paraId="271CBAE7" w14:textId="1BF8C62B" w:rsidR="009A55CE" w:rsidRPr="00A820F8" w:rsidRDefault="00FD3AC6">
      <w:pPr>
        <w:rPr>
          <w:rFonts w:ascii="Verdana" w:hAnsi="Verdana"/>
        </w:rPr>
      </w:pPr>
      <w:r w:rsidRPr="00A820F8">
        <w:rPr>
          <w:rFonts w:ascii="Verdana" w:hAnsi="Verdana"/>
        </w:rPr>
        <w:t>Niet zo lang geleden hoorde ik het iemand nog scherper formuleren.</w:t>
      </w:r>
      <w:r w:rsidR="00DD6DDF" w:rsidRPr="00A820F8">
        <w:rPr>
          <w:rStyle w:val="Voetnootmarkering"/>
          <w:rFonts w:ascii="Verdana" w:hAnsi="Verdana"/>
        </w:rPr>
        <w:footnoteReference w:id="1"/>
      </w:r>
      <w:r w:rsidRPr="00A820F8">
        <w:rPr>
          <w:rFonts w:ascii="Verdana" w:hAnsi="Verdana"/>
        </w:rPr>
        <w:t xml:space="preserve"> Zelf was ze door een rouwproces heen gestrompeld en er nog steeds mee bezig. Ze formuleerde het zo: ‘Potjandorie en U zij de glorie</w:t>
      </w:r>
      <w:r w:rsidR="00355C0D" w:rsidRPr="00A820F8">
        <w:rPr>
          <w:rFonts w:ascii="Verdana" w:hAnsi="Verdana"/>
        </w:rPr>
        <w:t>! zijn tegelijk aanwezig bij iemand die gelovig rouwt’.</w:t>
      </w:r>
      <w:r w:rsidR="0019319D" w:rsidRPr="00A820F8">
        <w:rPr>
          <w:rFonts w:ascii="Verdana" w:hAnsi="Verdana"/>
        </w:rPr>
        <w:t xml:space="preserve"> Ik zou het anders zeggen, maar  begrijp het wel.</w:t>
      </w:r>
      <w:r w:rsidR="00355C0D" w:rsidRPr="00A820F8">
        <w:rPr>
          <w:rFonts w:ascii="Verdana" w:hAnsi="Verdana"/>
        </w:rPr>
        <w:t xml:space="preserve"> Er is de diepe pijn die je tot verontwaardiging en boosheid kan brengen. ‘Waarom moet mij dit overkomen? Here God, waar was U toen mijn lieve vader moeder of zusje stierf en </w:t>
      </w:r>
      <w:r w:rsidR="003A3323" w:rsidRPr="00A820F8">
        <w:rPr>
          <w:rFonts w:ascii="Verdana" w:hAnsi="Verdana"/>
        </w:rPr>
        <w:t xml:space="preserve">waar </w:t>
      </w:r>
      <w:r w:rsidR="00355C0D" w:rsidRPr="00A820F8">
        <w:rPr>
          <w:rFonts w:ascii="Verdana" w:hAnsi="Verdana"/>
        </w:rPr>
        <w:t>bent U nu in mijn leven?’ Dat bedoelde  ze met ‘potjandorie’. Met ‘U zij de glorie!’ verwoord</w:t>
      </w:r>
      <w:r w:rsidR="007263F3" w:rsidRPr="00A820F8">
        <w:rPr>
          <w:rFonts w:ascii="Verdana" w:hAnsi="Verdana"/>
        </w:rPr>
        <w:t>d</w:t>
      </w:r>
      <w:r w:rsidR="00355C0D" w:rsidRPr="00A820F8">
        <w:rPr>
          <w:rFonts w:ascii="Verdana" w:hAnsi="Verdana"/>
        </w:rPr>
        <w:t xml:space="preserve">e ze haar zekerheid en geloofsvertrouwen. ‘Ik </w:t>
      </w:r>
      <w:r w:rsidR="00355C0D" w:rsidRPr="00A820F8">
        <w:rPr>
          <w:rFonts w:ascii="Verdana" w:hAnsi="Verdana"/>
        </w:rPr>
        <w:lastRenderedPageBreak/>
        <w:t xml:space="preserve">prijs God. Hij laat me nooit aan mijn lot over!’ Dat kan dus samengaan. In </w:t>
      </w:r>
      <w:r w:rsidR="0019319D" w:rsidRPr="00A820F8">
        <w:rPr>
          <w:rFonts w:ascii="Verdana" w:hAnsi="Verdana"/>
        </w:rPr>
        <w:t xml:space="preserve">bijna </w:t>
      </w:r>
      <w:r w:rsidR="00355C0D" w:rsidRPr="00A820F8">
        <w:rPr>
          <w:rFonts w:ascii="Verdana" w:hAnsi="Verdana"/>
        </w:rPr>
        <w:t>geen liedtekst komt het beide voor, in het dagelijks leven wél. Klagen en dragen en geloofsvertrouwen zijn geen tegenstelling maar alle onderdeel van eerlijk rouwen.</w:t>
      </w:r>
    </w:p>
    <w:sectPr w:rsidR="009A55CE" w:rsidRPr="00A820F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9D648" w14:textId="77777777" w:rsidR="00DD6DDF" w:rsidRDefault="00DD6DDF" w:rsidP="00DD6DDF">
      <w:pPr>
        <w:spacing w:after="0" w:line="240" w:lineRule="auto"/>
      </w:pPr>
      <w:r>
        <w:separator/>
      </w:r>
    </w:p>
  </w:endnote>
  <w:endnote w:type="continuationSeparator" w:id="0">
    <w:p w14:paraId="12BFD23B" w14:textId="77777777" w:rsidR="00DD6DDF" w:rsidRDefault="00DD6DDF" w:rsidP="00DD6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4F915" w14:textId="77777777" w:rsidR="00DD6DDF" w:rsidRDefault="00DD6DDF" w:rsidP="00DD6DDF">
      <w:pPr>
        <w:spacing w:after="0" w:line="240" w:lineRule="auto"/>
      </w:pPr>
      <w:r>
        <w:separator/>
      </w:r>
    </w:p>
  </w:footnote>
  <w:footnote w:type="continuationSeparator" w:id="0">
    <w:p w14:paraId="0193DB41" w14:textId="77777777" w:rsidR="00DD6DDF" w:rsidRDefault="00DD6DDF" w:rsidP="00DD6DDF">
      <w:pPr>
        <w:spacing w:after="0" w:line="240" w:lineRule="auto"/>
      </w:pPr>
      <w:r>
        <w:continuationSeparator/>
      </w:r>
    </w:p>
  </w:footnote>
  <w:footnote w:id="1">
    <w:p w14:paraId="31D7260E" w14:textId="155EA808" w:rsidR="00DD6DDF" w:rsidRDefault="00DD6DDF">
      <w:pPr>
        <w:pStyle w:val="Voetnoottekst"/>
      </w:pPr>
      <w:r>
        <w:rPr>
          <w:rStyle w:val="Voetnootmarkering"/>
        </w:rPr>
        <w:footnoteRef/>
      </w:r>
      <w:r>
        <w:t xml:space="preserve"> Henrike Dankers, ‘Na zolang nog, leven met jong ouderverlies’ (Utrecht 2019) herhaalt dat ook in haar boek.</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5CE"/>
    <w:rsid w:val="000E76F5"/>
    <w:rsid w:val="0019319D"/>
    <w:rsid w:val="00355C0D"/>
    <w:rsid w:val="003A3323"/>
    <w:rsid w:val="007263F3"/>
    <w:rsid w:val="007C2D2B"/>
    <w:rsid w:val="009A55CE"/>
    <w:rsid w:val="00A5439D"/>
    <w:rsid w:val="00A820F8"/>
    <w:rsid w:val="00DD6DDF"/>
    <w:rsid w:val="00FD3AC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80B2A"/>
  <w15:chartTrackingRefBased/>
  <w15:docId w15:val="{13D5BD36-ED3C-434F-852A-C5D4E2A26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DD6DD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D6DDF"/>
    <w:rPr>
      <w:sz w:val="20"/>
      <w:szCs w:val="20"/>
    </w:rPr>
  </w:style>
  <w:style w:type="character" w:styleId="Voetnootmarkering">
    <w:name w:val="footnote reference"/>
    <w:basedOn w:val="Standaardalinea-lettertype"/>
    <w:uiPriority w:val="99"/>
    <w:semiHidden/>
    <w:unhideWhenUsed/>
    <w:rsid w:val="00DD6D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3AE92-6556-4366-8BFA-991456DBC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527</Words>
  <Characters>2904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2018-11-20T10:53:00Z</dcterms:created>
  <dcterms:modified xsi:type="dcterms:W3CDTF">2020-07-23T15:33:00Z</dcterms:modified>
</cp:coreProperties>
</file>